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196F5" w14:textId="2C1C6694" w:rsidR="0071324B" w:rsidRPr="009B1100" w:rsidRDefault="0071324B" w:rsidP="0071324B">
      <w:pPr>
        <w:spacing w:after="0" w:line="240" w:lineRule="auto"/>
        <w:rPr>
          <w:rFonts w:ascii="Times New Roman" w:eastAsia="Times New Roman" w:hAnsi="Times New Roman" w:cs="Times New Roman"/>
          <w:b/>
          <w:smallCaps/>
          <w:sz w:val="28"/>
          <w:szCs w:val="28"/>
          <w:lang w:eastAsia="ko-KR"/>
        </w:rPr>
      </w:pPr>
      <w:proofErr w:type="spellStart"/>
      <w:r w:rsidRPr="009B1100">
        <w:rPr>
          <w:rFonts w:ascii="Times New Roman" w:eastAsia="Times New Roman" w:hAnsi="Times New Roman" w:cs="Times New Roman"/>
          <w:b/>
          <w:smallCaps/>
          <w:sz w:val="28"/>
          <w:szCs w:val="28"/>
          <w:lang w:eastAsia="ko-KR"/>
        </w:rPr>
        <w:t>consiliul</w:t>
      </w:r>
      <w:proofErr w:type="spellEnd"/>
      <w:r w:rsidRPr="009B1100">
        <w:rPr>
          <w:rFonts w:ascii="Times New Roman" w:eastAsia="Times New Roman" w:hAnsi="Times New Roman" w:cs="Times New Roman"/>
          <w:b/>
          <w:smallCaps/>
          <w:sz w:val="28"/>
          <w:szCs w:val="28"/>
          <w:lang w:eastAsia="ko-KR"/>
        </w:rPr>
        <w:t xml:space="preserve"> </w:t>
      </w:r>
      <w:proofErr w:type="spellStart"/>
      <w:r w:rsidRPr="009B1100">
        <w:rPr>
          <w:rFonts w:ascii="Times New Roman" w:eastAsia="Times New Roman" w:hAnsi="Times New Roman" w:cs="Times New Roman"/>
          <w:b/>
          <w:smallCaps/>
          <w:sz w:val="28"/>
          <w:szCs w:val="28"/>
          <w:lang w:eastAsia="ko-KR"/>
        </w:rPr>
        <w:t>jude</w:t>
      </w:r>
      <w:proofErr w:type="spellEnd"/>
      <w:r w:rsidRPr="009B1100">
        <w:rPr>
          <w:rFonts w:ascii="Times New Roman" w:eastAsia="Times New Roman" w:hAnsi="Times New Roman" w:cs="Times New Roman"/>
          <w:b/>
          <w:smallCaps/>
          <w:sz w:val="28"/>
          <w:szCs w:val="28"/>
          <w:lang w:val="ro-RO" w:eastAsia="ko-KR"/>
        </w:rPr>
        <w:t>ţean dolj</w:t>
      </w:r>
      <w:r w:rsidRPr="009B1100">
        <w:rPr>
          <w:rFonts w:ascii="Times New Roman" w:eastAsia="Times New Roman" w:hAnsi="Times New Roman" w:cs="Times New Roman"/>
          <w:b/>
          <w:smallCaps/>
          <w:sz w:val="28"/>
          <w:szCs w:val="28"/>
          <w:lang w:eastAsia="ko-KR"/>
        </w:rPr>
        <w:t xml:space="preserve">                                                       </w:t>
      </w:r>
      <w:r w:rsidR="009B1100">
        <w:rPr>
          <w:rFonts w:ascii="Times New Roman" w:eastAsia="Times New Roman" w:hAnsi="Times New Roman" w:cs="Times New Roman"/>
          <w:b/>
          <w:smallCaps/>
          <w:sz w:val="28"/>
          <w:szCs w:val="28"/>
          <w:lang w:eastAsia="ko-KR"/>
        </w:rPr>
        <w:t xml:space="preserve"> </w:t>
      </w:r>
      <w:r w:rsidRPr="009B1100">
        <w:rPr>
          <w:rFonts w:ascii="Times New Roman" w:eastAsia="Times New Roman" w:hAnsi="Times New Roman" w:cs="Times New Roman"/>
          <w:b/>
          <w:smallCaps/>
          <w:sz w:val="28"/>
          <w:szCs w:val="28"/>
          <w:lang w:eastAsia="ko-KR"/>
        </w:rPr>
        <w:t xml:space="preserve">                                                                             </w:t>
      </w:r>
    </w:p>
    <w:p w14:paraId="5C49045A" w14:textId="1EB91F20" w:rsidR="0071324B" w:rsidRPr="009B1100" w:rsidRDefault="009B1100" w:rsidP="0071324B">
      <w:pPr>
        <w:spacing w:after="0" w:line="240" w:lineRule="auto"/>
        <w:rPr>
          <w:rFonts w:ascii="Times New Roman" w:eastAsia="Times New Roman" w:hAnsi="Times New Roman" w:cs="Times New Roman"/>
          <w:b/>
          <w:smallCaps/>
          <w:sz w:val="28"/>
          <w:szCs w:val="28"/>
          <w:lang w:eastAsia="ko-KR"/>
        </w:rPr>
      </w:pPr>
      <w:r w:rsidRPr="009B1100">
        <w:rPr>
          <w:rFonts w:ascii="Times New Roman" w:eastAsia="Times New Roman" w:hAnsi="Times New Roman" w:cs="Times New Roman"/>
          <w:b/>
          <w:smallCaps/>
          <w:sz w:val="24"/>
          <w:szCs w:val="24"/>
          <w:lang w:eastAsia="ko-KR"/>
        </w:rPr>
        <w:t>NR.</w:t>
      </w:r>
      <w:r w:rsidR="0071324B" w:rsidRPr="009B1100">
        <w:rPr>
          <w:rFonts w:ascii="Times New Roman" w:eastAsia="Times New Roman" w:hAnsi="Times New Roman" w:cs="Times New Roman"/>
          <w:b/>
          <w:smallCaps/>
          <w:sz w:val="24"/>
          <w:szCs w:val="24"/>
          <w:lang w:eastAsia="ko-KR"/>
        </w:rPr>
        <w:t xml:space="preserve">   </w:t>
      </w:r>
      <w:r w:rsidR="00BF7BE2">
        <w:rPr>
          <w:rFonts w:ascii="Times New Roman" w:eastAsia="Times New Roman" w:hAnsi="Times New Roman" w:cs="Times New Roman"/>
          <w:b/>
          <w:smallCaps/>
          <w:sz w:val="24"/>
          <w:szCs w:val="24"/>
          <w:lang w:eastAsia="ko-KR"/>
        </w:rPr>
        <w:t>16081/28.09.2026</w:t>
      </w:r>
      <w:r w:rsidR="0071324B" w:rsidRPr="009B1100">
        <w:rPr>
          <w:rFonts w:ascii="Times New Roman" w:eastAsia="Times New Roman" w:hAnsi="Times New Roman" w:cs="Times New Roman"/>
          <w:b/>
          <w:smallCaps/>
          <w:sz w:val="24"/>
          <w:szCs w:val="24"/>
          <w:lang w:eastAsia="ko-KR"/>
        </w:rPr>
        <w:t xml:space="preserve">                                                                                                 </w:t>
      </w:r>
      <w:r>
        <w:rPr>
          <w:rFonts w:ascii="Times New Roman" w:eastAsia="Times New Roman" w:hAnsi="Times New Roman" w:cs="Times New Roman"/>
          <w:b/>
          <w:smallCaps/>
          <w:sz w:val="24"/>
          <w:szCs w:val="24"/>
          <w:lang w:eastAsia="ko-KR"/>
        </w:rPr>
        <w:t xml:space="preserve">       </w:t>
      </w:r>
      <w:r w:rsidR="0071324B" w:rsidRPr="009B1100">
        <w:rPr>
          <w:rFonts w:ascii="Times New Roman" w:eastAsia="Times New Roman" w:hAnsi="Times New Roman" w:cs="Times New Roman"/>
          <w:b/>
          <w:smallCaps/>
          <w:sz w:val="28"/>
          <w:szCs w:val="28"/>
          <w:lang w:eastAsia="ko-KR"/>
        </w:rPr>
        <w:t>pre</w:t>
      </w:r>
      <w:r w:rsidR="0071324B" w:rsidRPr="009B1100">
        <w:rPr>
          <w:rFonts w:ascii="Times New Roman" w:eastAsia="Times New Roman" w:hAnsi="Times New Roman" w:cs="Times New Roman"/>
          <w:b/>
          <w:smallCaps/>
          <w:sz w:val="28"/>
          <w:szCs w:val="28"/>
          <w:lang w:val="ro-RO" w:eastAsia="ko-KR"/>
        </w:rPr>
        <w:t>şedinte</w:t>
      </w:r>
      <w:r w:rsidR="0071324B" w:rsidRPr="009B1100">
        <w:rPr>
          <w:rFonts w:ascii="Times New Roman" w:eastAsia="Times New Roman" w:hAnsi="Times New Roman" w:cs="Times New Roman"/>
          <w:b/>
          <w:smallCaps/>
          <w:sz w:val="28"/>
          <w:szCs w:val="28"/>
          <w:lang w:eastAsia="ko-KR"/>
        </w:rPr>
        <w:t xml:space="preserve"> </w:t>
      </w:r>
    </w:p>
    <w:p w14:paraId="7838D83E" w14:textId="77777777" w:rsidR="0071324B" w:rsidRPr="009B1100" w:rsidRDefault="0071324B" w:rsidP="0071324B">
      <w:pPr>
        <w:spacing w:after="0" w:line="240" w:lineRule="auto"/>
        <w:rPr>
          <w:rFonts w:ascii="Times New Roman" w:eastAsia="Times New Roman" w:hAnsi="Times New Roman" w:cs="Times New Roman"/>
          <w:b/>
          <w:smallCaps/>
          <w:sz w:val="28"/>
          <w:szCs w:val="28"/>
          <w:lang w:eastAsia="ko-KR"/>
        </w:rPr>
      </w:pPr>
      <w:r w:rsidRPr="009B1100">
        <w:rPr>
          <w:rFonts w:ascii="Times New Roman" w:eastAsia="Times New Roman" w:hAnsi="Times New Roman" w:cs="Times New Roman"/>
          <w:b/>
          <w:smallCaps/>
          <w:sz w:val="28"/>
          <w:szCs w:val="28"/>
          <w:lang w:eastAsia="ko-KR"/>
        </w:rPr>
        <w:t xml:space="preserve">   </w:t>
      </w:r>
    </w:p>
    <w:p w14:paraId="37CCC3C7" w14:textId="590100D7" w:rsidR="0071324B" w:rsidRPr="009B1100" w:rsidRDefault="0071324B" w:rsidP="0071324B">
      <w:pPr>
        <w:spacing w:after="0" w:line="240" w:lineRule="auto"/>
        <w:rPr>
          <w:rFonts w:ascii="Times New Roman" w:eastAsia="Times New Roman" w:hAnsi="Times New Roman" w:cs="Times New Roman"/>
          <w:b/>
          <w:smallCaps/>
          <w:sz w:val="28"/>
          <w:szCs w:val="28"/>
          <w:lang w:eastAsia="ko-KR"/>
        </w:rPr>
      </w:pPr>
      <w:r w:rsidRPr="009B1100">
        <w:rPr>
          <w:rFonts w:ascii="Times New Roman" w:eastAsia="Times New Roman" w:hAnsi="Times New Roman" w:cs="Times New Roman"/>
          <w:b/>
          <w:smallCaps/>
          <w:sz w:val="28"/>
          <w:szCs w:val="28"/>
          <w:lang w:eastAsia="ko-KR"/>
        </w:rPr>
        <w:t xml:space="preserve">                                                                                                                          </w:t>
      </w:r>
      <w:proofErr w:type="spellStart"/>
      <w:r w:rsidRPr="009B1100">
        <w:rPr>
          <w:rFonts w:ascii="Times New Roman" w:eastAsia="Times New Roman" w:hAnsi="Times New Roman" w:cs="Times New Roman"/>
          <w:b/>
          <w:smallCaps/>
          <w:sz w:val="28"/>
          <w:szCs w:val="28"/>
          <w:lang w:eastAsia="ko-KR"/>
        </w:rPr>
        <w:t>dorin</w:t>
      </w:r>
      <w:r w:rsidR="009B1100">
        <w:rPr>
          <w:rFonts w:ascii="Times New Roman" w:eastAsia="Times New Roman" w:hAnsi="Times New Roman" w:cs="Times New Roman"/>
          <w:b/>
          <w:smallCaps/>
          <w:sz w:val="28"/>
          <w:szCs w:val="28"/>
          <w:lang w:eastAsia="ko-KR"/>
        </w:rPr>
        <w:t>-</w:t>
      </w:r>
      <w:r w:rsidRPr="009B1100">
        <w:rPr>
          <w:rFonts w:ascii="Times New Roman" w:eastAsia="Times New Roman" w:hAnsi="Times New Roman" w:cs="Times New Roman"/>
          <w:b/>
          <w:smallCaps/>
          <w:sz w:val="28"/>
          <w:szCs w:val="28"/>
          <w:lang w:eastAsia="ko-KR"/>
        </w:rPr>
        <w:t>cosmin</w:t>
      </w:r>
      <w:proofErr w:type="spellEnd"/>
      <w:r w:rsidRPr="009B1100">
        <w:rPr>
          <w:rFonts w:ascii="Times New Roman" w:eastAsia="Times New Roman" w:hAnsi="Times New Roman" w:cs="Times New Roman"/>
          <w:b/>
          <w:smallCaps/>
          <w:sz w:val="28"/>
          <w:szCs w:val="28"/>
          <w:lang w:eastAsia="ko-KR"/>
        </w:rPr>
        <w:t xml:space="preserve"> </w:t>
      </w:r>
      <w:proofErr w:type="spellStart"/>
      <w:r w:rsidRPr="009B1100">
        <w:rPr>
          <w:rFonts w:ascii="Times New Roman" w:eastAsia="Times New Roman" w:hAnsi="Times New Roman" w:cs="Times New Roman"/>
          <w:b/>
          <w:smallCaps/>
          <w:sz w:val="28"/>
          <w:szCs w:val="28"/>
          <w:lang w:eastAsia="ko-KR"/>
        </w:rPr>
        <w:t>vasile</w:t>
      </w:r>
      <w:proofErr w:type="spellEnd"/>
    </w:p>
    <w:p w14:paraId="0A938030" w14:textId="77777777" w:rsidR="0071324B" w:rsidRDefault="0071324B" w:rsidP="0071324B">
      <w:pPr>
        <w:spacing w:after="100"/>
        <w:jc w:val="center"/>
        <w:rPr>
          <w:rFonts w:ascii="Times New Roman" w:hAnsi="Times New Roman" w:cs="Times New Roman"/>
          <w:b/>
          <w:sz w:val="24"/>
          <w:szCs w:val="24"/>
        </w:rPr>
      </w:pPr>
    </w:p>
    <w:p w14:paraId="186058E2" w14:textId="77777777" w:rsidR="0071324B" w:rsidRDefault="0071324B" w:rsidP="0071324B">
      <w:pPr>
        <w:spacing w:after="100"/>
        <w:jc w:val="center"/>
        <w:rPr>
          <w:rFonts w:ascii="Times New Roman" w:hAnsi="Times New Roman" w:cs="Times New Roman"/>
          <w:b/>
          <w:sz w:val="24"/>
          <w:szCs w:val="24"/>
        </w:rPr>
      </w:pPr>
    </w:p>
    <w:p w14:paraId="0D0A19C1" w14:textId="40BB2E9D" w:rsidR="0071324B" w:rsidRPr="009B1100" w:rsidRDefault="00000000" w:rsidP="009B1100">
      <w:pPr>
        <w:pStyle w:val="NoSpacing"/>
        <w:jc w:val="center"/>
        <w:rPr>
          <w:rFonts w:ascii="Times New Roman" w:hAnsi="Times New Roman" w:cs="Times New Roman"/>
          <w:b/>
          <w:bCs/>
          <w:sz w:val="24"/>
          <w:szCs w:val="24"/>
        </w:rPr>
      </w:pPr>
      <w:r w:rsidRPr="009B1100">
        <w:rPr>
          <w:rFonts w:ascii="Times New Roman" w:hAnsi="Times New Roman" w:cs="Times New Roman"/>
          <w:b/>
          <w:bCs/>
          <w:sz w:val="24"/>
          <w:szCs w:val="24"/>
        </w:rPr>
        <w:t>GHIDUL PRIVIND METODOLOGIA DE FINANȚARE</w:t>
      </w:r>
    </w:p>
    <w:p w14:paraId="7E36626C" w14:textId="77777777" w:rsidR="0071324B" w:rsidRPr="009B1100" w:rsidRDefault="00000000" w:rsidP="009B1100">
      <w:pPr>
        <w:pStyle w:val="NoSpacing"/>
        <w:jc w:val="center"/>
        <w:rPr>
          <w:rFonts w:ascii="Times New Roman" w:hAnsi="Times New Roman" w:cs="Times New Roman"/>
          <w:b/>
          <w:bCs/>
          <w:sz w:val="24"/>
          <w:szCs w:val="24"/>
        </w:rPr>
      </w:pPr>
      <w:r w:rsidRPr="009B1100">
        <w:rPr>
          <w:rFonts w:ascii="Times New Roman" w:hAnsi="Times New Roman" w:cs="Times New Roman"/>
          <w:b/>
          <w:bCs/>
          <w:sz w:val="24"/>
          <w:szCs w:val="24"/>
        </w:rPr>
        <w:t>A ACTIVITĂȚILOR DE TINERET</w:t>
      </w:r>
    </w:p>
    <w:p w14:paraId="7F453581" w14:textId="67F80F87" w:rsidR="0082374E" w:rsidRPr="009B1100" w:rsidRDefault="00000000" w:rsidP="009B1100">
      <w:pPr>
        <w:pStyle w:val="NoSpacing"/>
        <w:jc w:val="center"/>
        <w:rPr>
          <w:rFonts w:ascii="Times New Roman" w:hAnsi="Times New Roman" w:cs="Times New Roman"/>
          <w:b/>
          <w:bCs/>
          <w:sz w:val="24"/>
          <w:szCs w:val="24"/>
        </w:rPr>
      </w:pPr>
      <w:r w:rsidRPr="009B1100">
        <w:rPr>
          <w:rFonts w:ascii="Times New Roman" w:hAnsi="Times New Roman" w:cs="Times New Roman"/>
          <w:b/>
          <w:bCs/>
          <w:sz w:val="24"/>
          <w:szCs w:val="24"/>
        </w:rPr>
        <w:t>DIN FONDURILE BUGETULUI JUDEȚULUI DOLJ</w:t>
      </w:r>
    </w:p>
    <w:p w14:paraId="1D229146" w14:textId="474DFA1B" w:rsidR="0082374E" w:rsidRPr="009B1100" w:rsidRDefault="009B1100" w:rsidP="009B1100">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PE </w:t>
      </w:r>
      <w:r w:rsidRPr="009B1100">
        <w:rPr>
          <w:rFonts w:ascii="Times New Roman" w:hAnsi="Times New Roman" w:cs="Times New Roman"/>
          <w:b/>
          <w:bCs/>
          <w:sz w:val="24"/>
          <w:szCs w:val="24"/>
        </w:rPr>
        <w:t>ANUL 2026</w:t>
      </w:r>
    </w:p>
    <w:p w14:paraId="044CCEDA"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CAPITOLUL I – DISPOZIȚII GENERALE</w:t>
      </w:r>
    </w:p>
    <w:p w14:paraId="11A8223E"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SCOP ȘI DEFINIȚII</w:t>
      </w:r>
    </w:p>
    <w:p w14:paraId="7A365BF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Prezenta metodologie are ca scop stabilirea principiilor, cadrului general și a procedurii pentru atribuirea contractelor de finanțare nerambursabilă din fondurile bugetului județului Dolj pentru activități de tineret, precum și căile de atac ale actului sau deciziei autorității finanțatoare care aplică procedura de atribuire a contractelor de finanțare nerambursabilă.</w:t>
      </w:r>
    </w:p>
    <w:p w14:paraId="127322D2"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În sensul prezentei metodologii, termenii și expresiile de mai jos au următoarea semnificație:</w:t>
      </w:r>
    </w:p>
    <w:p w14:paraId="660B912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 activitate generatoare de profit – activitate care produce un profit în mod direct pentru o persoană fizică sau juridică;</w:t>
      </w:r>
    </w:p>
    <w:p w14:paraId="64CC6E3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b) autoritate finanțatoare – Consiliul Județean Dolj;</w:t>
      </w:r>
    </w:p>
    <w:p w14:paraId="11AD272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c) beneficiar – solicitantul căruia i se atribuie contractul de finanțare nerambursabilă în urma aplicării procedurii selecției publice de proiecte;</w:t>
      </w:r>
    </w:p>
    <w:p w14:paraId="3AC3974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d) cheltuieli eligibile – cheltuieli care pot fi luate în considerare pentru finanțarea nerambursabilă;</w:t>
      </w:r>
    </w:p>
    <w:p w14:paraId="7C8E3FC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e) contract de finanțare nerambursabilă – contract încheiat, în condițiile legii, între Consiliul Județean Dolj, în calitate de autoritate finanțatoare, și beneficiar;</w:t>
      </w:r>
    </w:p>
    <w:p w14:paraId="7832753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 finanțare nerambursabilă – alocație financiară directă din fonduri publice pentru desfășurarea unor activități nonprofit de interes public în domeniul tineretului, în condițiile Legii nr. 350/2006 și ale prezentei metodologii;</w:t>
      </w:r>
    </w:p>
    <w:p w14:paraId="42C8700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g) fonduri publice – sume alocate din bugetul județului Dolj de către Consiliul Județean Dolj;</w:t>
      </w:r>
    </w:p>
    <w:p w14:paraId="1E7E0E9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h) solicitant – persoană juridică fără scop patrimonial care depune o propunere de proiect și îndeplinește condițiile de eligibilitate prevăzute de prezenta metodologie.</w:t>
      </w:r>
    </w:p>
    <w:p w14:paraId="6503699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Solicitanții eligibili sunt organizațiile neguvernamentale de tineret prevăzute de art. 11 din Legea nr. 350/2006, în condițiile prezentului Ghid.</w:t>
      </w:r>
    </w:p>
    <w:p w14:paraId="4EF777F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Finanțările nerambursabile acordate se vor utiliza numai pentru programele și proiectele de interes public inițiate și organizate de către solicitanți, în completarea veniturilor proprii și a celor primite sub formă de donații și sponsorizări.</w:t>
      </w:r>
    </w:p>
    <w:p w14:paraId="06C10C1B"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lastRenderedPageBreak/>
        <w:t>DOMENIU DE APLICARE</w:t>
      </w:r>
    </w:p>
    <w:p w14:paraId="36FA1A1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Prevederile prezentei metodologii se aplică pentru atribuirea contractelor de finanțare nerambursabilă din fondurile bugetului județului Dolj alocate pentru activități de tineret.</w:t>
      </w:r>
    </w:p>
    <w:p w14:paraId="33C7934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Prezenta metodologie nu se aplică fondurilor speciale de intervenție în caz de calamitate și de sprijinire a persoanelor fizice sinistrate și nu aduce atingere procedurilor stabilite prin legi speciale.</w:t>
      </w:r>
    </w:p>
    <w:p w14:paraId="0A693FF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Finanțările nerambursabile nu se acordă pentru activități generatoare de profit și nici pentru activități din domeniile reglementate de legislația privind protecția informațiilor clasificate.</w:t>
      </w:r>
    </w:p>
    <w:p w14:paraId="02C6C8C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Nu se acordă finanțări nerambursabile pentru activități ce presupun dezvoltarea infrastructurii solicitantului și nici pentru cheltuieli care se constituie într-o formă sau alta în remunerație pentru membrii organizației, cu excepția cheltuielilor eligibile aferente personalului/onorariilor direct implicat în proiect, în condițiile prezentului Ghid.</w:t>
      </w:r>
    </w:p>
    <w:p w14:paraId="1F117E65"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PRINCIPII DE ATRIBUIRE A CONTRACTELOR DE FINANȚARE NERAMBURSABILĂ</w:t>
      </w:r>
    </w:p>
    <w:p w14:paraId="7D2AA515"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 libera concurență, respectiv asigurarea condițiilor pentru ca persoanele juridice care desfășoară activități nonprofit să poată deveni, în condițiile legii, beneficiare;</w:t>
      </w:r>
    </w:p>
    <w:p w14:paraId="680C16E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b) eficacitatea utilizării fondurilor publice, prin folosirea criteriilor care permit evaluarea propunerilor și a specificațiilor tehnice și financiare;</w:t>
      </w:r>
    </w:p>
    <w:p w14:paraId="32D79AE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c) transparența, respectiv punerea la dispoziția celor interesați </w:t>
      </w:r>
      <w:proofErr w:type="gramStart"/>
      <w:r w:rsidRPr="0071324B">
        <w:rPr>
          <w:rFonts w:ascii="Times New Roman" w:hAnsi="Times New Roman" w:cs="Times New Roman"/>
          <w:sz w:val="24"/>
          <w:szCs w:val="24"/>
        </w:rPr>
        <w:t>a</w:t>
      </w:r>
      <w:proofErr w:type="gramEnd"/>
      <w:r w:rsidRPr="0071324B">
        <w:rPr>
          <w:rFonts w:ascii="Times New Roman" w:hAnsi="Times New Roman" w:cs="Times New Roman"/>
          <w:sz w:val="24"/>
          <w:szCs w:val="24"/>
        </w:rPr>
        <w:t xml:space="preserve"> informațiilor referitoare la aplicarea procedurii;</w:t>
      </w:r>
    </w:p>
    <w:p w14:paraId="145F250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d) tratamentul egal, respectiv aplicarea nediscriminatorie a criteriilor de selecție și atribuire;</w:t>
      </w:r>
    </w:p>
    <w:p w14:paraId="211B65F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e) neretroactivitatea, respectiv excluderea finanțării unei activități a cărei executare a fost deja începută sau finalizată la data încheierii contractului;</w:t>
      </w:r>
    </w:p>
    <w:p w14:paraId="33237CF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 anualitatea, în sensul derulării procedurii și utilizării finanțării în cadrul anului calendaristic pentru care aceasta a fost aprobată.</w:t>
      </w:r>
    </w:p>
    <w:p w14:paraId="737DC71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Pentru același domeniu, un beneficiar nu poate contracta decât o singură finanțare nerambursabilă în decursul unui an.</w:t>
      </w:r>
    </w:p>
    <w:p w14:paraId="3B4C133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Conform prezentei proceduri, un solicitant poate depune o singură cerere de finanțare pentru un singur proiect.</w:t>
      </w:r>
    </w:p>
    <w:p w14:paraId="708974F3"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PREVEDERI BUGETARE</w:t>
      </w:r>
    </w:p>
    <w:p w14:paraId="64587DE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Programele și proiectele de interes public vor fi selecționate pentru finanțare în limita fondului anual destinat activităților de tineret, în sumă de 30.000 lei, prevăzut în bugetul propriu al județului Dolj pentru anul 2026.</w:t>
      </w:r>
    </w:p>
    <w:p w14:paraId="31E3931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Finanțarea proiectelor se realizează în limita fondurilor disponibile și în ordinea stabilită în urma evaluării și selecției proiectelor.</w:t>
      </w:r>
    </w:p>
    <w:p w14:paraId="028E905B"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PROCEDURA DE FINANȚARE</w:t>
      </w:r>
    </w:p>
    <w:p w14:paraId="3244B2F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Finanțarea se acordă beneficiarului în contul acestuia deschis la o instituție de credit, în localitatea în care acesta are sediul, sau în contul indicat și acceptat potrivit documentelor contractuale.</w:t>
      </w:r>
    </w:p>
    <w:p w14:paraId="1092D1F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lastRenderedPageBreak/>
        <w:t>Finanțarea pentru o tranșă aferentă unei etape următoare a proiectului se acordă numai după justificarea utilizării tranșei anterioare prin depunerea rapoartelor și documentelor justificative, după cum urmează:</w:t>
      </w:r>
    </w:p>
    <w:p w14:paraId="6B8E344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Prima tranșă (avans) este de 30% din finanțarea acordată.</w:t>
      </w:r>
    </w:p>
    <w:p w14:paraId="4978FE3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 doua tranșă este de 60% din valoarea finanțării nerambursabile și va fi virată beneficiarului după cheltuirea a cel puțin 70% din valoarea avansului. Cererea de plată este însoțită de raportul intermediar, iar tranșa va fi virată în termen de 10 zile de la validarea acestuia de către autoritatea finanțatoare.</w:t>
      </w:r>
    </w:p>
    <w:p w14:paraId="41BE074F"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Tranșa finală, în cuantum de maximum 10% din valoarea finanțării nerambursabile, va fi virată beneficiarului în termen de 10 zile de la validarea raportului final, ulterior finalizării proiectului.</w:t>
      </w:r>
    </w:p>
    <w:p w14:paraId="322B2E6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Suma rămasă necheltuită la sfârșitul proiectului, atunci când derularea proiectului a fost posibilă cu costuri mai mici față de cele propuse și aprobate inițial, va fi evidențiată în raportul financiar final și va fi restituită de către beneficiar Consiliului Județean Dolj în termen de 5 zile lucrătoare de la solicitarea acesteia, comunicată beneficiarului în scris.</w:t>
      </w:r>
    </w:p>
    <w:p w14:paraId="3DA0E57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În termen de 14 zile calendaristice de la finalizarea proiectului, beneficiarul va înainta Consiliului Județean Dolj raportul final și documentele justificative, prin care va demonstra cheltuirea tuturor fondurilor conform bugetului aprobat, și va înainta cererea de plată a tranșei finale.</w:t>
      </w:r>
    </w:p>
    <w:p w14:paraId="608ECB5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În situația în care beneficiarul nu va putea justifica prin documente cheltuirea fondurilor, este obligat să restituie sumele rămase nejustificate, dar primite prin tranșele anterioare, în termen de maximum 5 zile de la solicitarea autorității finanțatoare.</w:t>
      </w:r>
    </w:p>
    <w:p w14:paraId="611C61CF"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INFORMAREA PUBLICĂ ȘI TRANSPARENȚA DECIZIONALĂ</w:t>
      </w:r>
    </w:p>
    <w:p w14:paraId="18E136C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Procedurile de planificare și executare a plafoanelor de cheltuieli privind finanțările nerambursabile, desemnarea membrilor comisiei de evaluare și selecționare, procedurile de atribuire a contractelor de finanțare nerambursabilă, contractele de finanțare nerambursabilă semnate de autoritatea finanțatoare cu beneficiarii, precum și rapoartele de execuție bugetară privind finanțările nerambursabile constituie informații de interes public, potrivit dispozițiilor Legii nr. 544/2001, cu modificările și completările ulterioare, în măsura în care nu sunt incidente excepțiile prevăzute de lege.</w:t>
      </w:r>
    </w:p>
    <w:p w14:paraId="12FFAF23"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CAPITOLUL II – ELIGIBILITATE</w:t>
      </w:r>
    </w:p>
    <w:p w14:paraId="75EE9DB0"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Eligibilitatea solicitanților</w:t>
      </w:r>
    </w:p>
    <w:p w14:paraId="5E24702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Pentru a fi eligibili pentru finanțarea nerambursabilă, solicitanții trebuie să îndeplinească cumulativ următoarele condiții:</w:t>
      </w:r>
    </w:p>
    <w:p w14:paraId="36F08FA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1. Să fie persoane juridice române fără scop patrimonial, constituite și funcționând în condițiile legislației aplicabile asociațiilor și fundațiilor.</w:t>
      </w:r>
    </w:p>
    <w:p w14:paraId="45C46FB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2. Să fie organizații neguvernamentale de tineret, în sensul art. 11 din Legea nr. 350/2006, respectiv persoane juridice de drept privat și fără scop patrimonial care funcționează în condițiile OG nr. 26/2000 și îndeplinesc cumulativ următoarele criterii: a) scopul prevăzut în statut vizează direct </w:t>
      </w:r>
      <w:r w:rsidRPr="0071324B">
        <w:rPr>
          <w:rFonts w:ascii="Times New Roman" w:hAnsi="Times New Roman" w:cs="Times New Roman"/>
          <w:sz w:val="24"/>
          <w:szCs w:val="24"/>
        </w:rPr>
        <w:lastRenderedPageBreak/>
        <w:t>domeniul tineretului, iar pentru realizarea acestuia majoritatea obiectivelor asumate sunt adresate tinerilor; b) cel puțin două treimi din numărul total al membrilor sunt tineri.</w:t>
      </w:r>
    </w:p>
    <w:p w14:paraId="1BFF4642"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3. Să fie direct răspunzători pentru elaborarea și managementul proiectului și să nu acționeze ca intermediari.</w:t>
      </w:r>
    </w:p>
    <w:p w14:paraId="2B3705F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4. Să nu obțină profit din activitățile/proiectele finanțate.</w:t>
      </w:r>
    </w:p>
    <w:p w14:paraId="78ED23E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Sunt avute în vedere, după caz, și formele asociative asimilate organizațiilor neguvernamentale de tineret potrivit Legii nr. 350/2006.</w:t>
      </w:r>
    </w:p>
    <w:p w14:paraId="3C875E30"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Situații de excludere</w:t>
      </w:r>
    </w:p>
    <w:p w14:paraId="3035284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1. Sunt în stare de insolvență sau fac obiectul unei proceduri de insolvență ori al unei proceduri similare prevăzute de legislația în vigoare.</w:t>
      </w:r>
    </w:p>
    <w:p w14:paraId="025751F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2. Reprezentantul legal a suferit condamnări privind conduita profesională, printr-o hotărâre judecătorească rămasă definitivă, în măsura în care situația este relevantă pentru accesul la finanțare.</w:t>
      </w:r>
    </w:p>
    <w:p w14:paraId="6AF105B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3. Sunt vinovați de grave erori profesionale dovedite prin mijloace pe care Consiliul Județean Dolj le poate justifica.</w:t>
      </w:r>
    </w:p>
    <w:p w14:paraId="3B7611A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4. Au suferit condamnări pentru fraudă, corupție, implicarea într-o organizație ilegală sau alte activități ilegale în detrimentul intereselor financiare ale României, printr-o hotărâre judecătorească rămasă definitivă.</w:t>
      </w:r>
    </w:p>
    <w:p w14:paraId="3B903D7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Solicitanții trebuie să declare pe propria răspundere că nu se găsesc în situațiile de excludere prevăzute în prezentul Ghid, prin Declarația solicitantului – Anexa 5.</w:t>
      </w:r>
    </w:p>
    <w:p w14:paraId="2792B322"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Obiective operaționale</w:t>
      </w:r>
    </w:p>
    <w:p w14:paraId="41EEDBF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Creșterea gradului de informare și sensibilizare asupra vieții comunității și dezvoltarea unei atitudini civice a tinerilor.</w:t>
      </w:r>
    </w:p>
    <w:p w14:paraId="037990E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Facilitarea accesului tinerilor la servicii de consultanță în vederea dezvoltării spiritului antreprenorial.</w:t>
      </w:r>
    </w:p>
    <w:p w14:paraId="69B90FF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Creșterea gradului de informare a tinerilor cu privire la piața muncii.</w:t>
      </w:r>
    </w:p>
    <w:p w14:paraId="7BA7327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Dezvoltarea solidarității și promovarea toleranței între tineri pentru consolidarea coeziunii sociale.</w:t>
      </w:r>
    </w:p>
    <w:p w14:paraId="58485CC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 Dezvoltarea calității sistemelor de susținere </w:t>
      </w:r>
      <w:proofErr w:type="gramStart"/>
      <w:r w:rsidRPr="0071324B">
        <w:rPr>
          <w:rFonts w:ascii="Times New Roman" w:hAnsi="Times New Roman" w:cs="Times New Roman"/>
          <w:sz w:val="24"/>
          <w:szCs w:val="24"/>
        </w:rPr>
        <w:t>a</w:t>
      </w:r>
      <w:proofErr w:type="gramEnd"/>
      <w:r w:rsidRPr="0071324B">
        <w:rPr>
          <w:rFonts w:ascii="Times New Roman" w:hAnsi="Times New Roman" w:cs="Times New Roman"/>
          <w:sz w:val="24"/>
          <w:szCs w:val="24"/>
        </w:rPr>
        <w:t xml:space="preserve"> activității de tineret și a capacității organizațiilor societății civile în domeniul tineretului.</w:t>
      </w:r>
    </w:p>
    <w:p w14:paraId="6B1CB5E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Promovarea ideii de voluntariat în rândul tinerilor și creșterea numărului de voluntari.</w:t>
      </w:r>
    </w:p>
    <w:p w14:paraId="477C51A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Stimularea interesului tinerilor pentru valorificarea tradițiilor culturale locale, inclusiv prin formarea în meserii tradiționale artistice și artizanale.</w:t>
      </w:r>
    </w:p>
    <w:p w14:paraId="0755B74F"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Eligibilitatea proiectelor</w:t>
      </w:r>
    </w:p>
    <w:p w14:paraId="7E660F49"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Tipuri de activități eligibile</w:t>
      </w:r>
    </w:p>
    <w:p w14:paraId="2C656F9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organizarea de activități de instruire, informare, consiliere și training;</w:t>
      </w:r>
    </w:p>
    <w:p w14:paraId="4A75AD85"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organizarea de seminarii, conferințe și dezbateri publice;</w:t>
      </w:r>
    </w:p>
    <w:p w14:paraId="1F8EA8B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lastRenderedPageBreak/>
        <w:t>• organizarea de activități sportive și social-educative, concursuri și competiții pe diverse domenii;</w:t>
      </w:r>
    </w:p>
    <w:p w14:paraId="3EEBA02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înființarea și dezvoltarea activităților de centre de voluntariat;</w:t>
      </w:r>
    </w:p>
    <w:p w14:paraId="706B643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organizarea de activități care promovează formarea tinerilor ca buni cetățeni, cunoașterea și respectarea normelor morale și civice, precum și cunoașterea drepturilor și îndatoririlor cetățenești, în scopul conviețuirii armonioase cu semenii.</w:t>
      </w:r>
    </w:p>
    <w:p w14:paraId="62F145DC"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Tipuri de proiecte neeligibile</w:t>
      </w:r>
    </w:p>
    <w:p w14:paraId="5D11F0B2"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proiecte care vizează sponsorizări pentru participarea la ateliere, seminarii, conferințe, congrese etc.;</w:t>
      </w:r>
    </w:p>
    <w:p w14:paraId="144BCC7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activități pentru obținerea unor burse individuale de studiu sau pentru cursuri de specializare;</w:t>
      </w:r>
    </w:p>
    <w:p w14:paraId="3AEF7EA5"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proiecte de infrastructură, care se concentrează pe achiziționarea de clădiri sau terenuri;</w:t>
      </w:r>
    </w:p>
    <w:p w14:paraId="10DA472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activități de refinanțare, respectiv folosirea fondurilor pentru acordarea de finanțări nerambursabile, credite sau împrumuturi altor organizații sau persoanelor fizice/juridice;</w:t>
      </w:r>
    </w:p>
    <w:p w14:paraId="20E75F8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aplicațiile depuse după termenul-limită stabilit;</w:t>
      </w:r>
    </w:p>
    <w:p w14:paraId="6748B42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proiectele care conțin activități cu caracter politic;</w:t>
      </w:r>
    </w:p>
    <w:p w14:paraId="6B333A0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proiectele care nu corespund scopurilor și obiectivelor declarate în statut;</w:t>
      </w:r>
    </w:p>
    <w:p w14:paraId="2745981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 proiectele care au beneficiat de alte finanțări pentru același tip de activități, în măsura în care ar rezulta finanțarea dublă </w:t>
      </w:r>
      <w:proofErr w:type="gramStart"/>
      <w:r w:rsidRPr="0071324B">
        <w:rPr>
          <w:rFonts w:ascii="Times New Roman" w:hAnsi="Times New Roman" w:cs="Times New Roman"/>
          <w:sz w:val="24"/>
          <w:szCs w:val="24"/>
        </w:rPr>
        <w:t>a</w:t>
      </w:r>
      <w:proofErr w:type="gramEnd"/>
      <w:r w:rsidRPr="0071324B">
        <w:rPr>
          <w:rFonts w:ascii="Times New Roman" w:hAnsi="Times New Roman" w:cs="Times New Roman"/>
          <w:sz w:val="24"/>
          <w:szCs w:val="24"/>
        </w:rPr>
        <w:t xml:space="preserve"> acelorași costuri.</w:t>
      </w:r>
    </w:p>
    <w:p w14:paraId="33E8DF9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Conform prezentului Ghid, un solicitant poate depune o singură cerere de finanțare pentru un singur proiect.</w:t>
      </w:r>
    </w:p>
    <w:p w14:paraId="07D72610"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Eligibilitatea costurilor</w:t>
      </w:r>
    </w:p>
    <w:p w14:paraId="63DBE4B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Următoarele costuri sunt eligibile, în măsura în care sunt necesare, rezonabile, direct legate de proiect, prevăzute în bugetul aprobat și justificate prin documente:</w:t>
      </w:r>
    </w:p>
    <w:p w14:paraId="05E317F5"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Cheltuieli cu personalul și onorarii pentru personalul de specialitate direct implicat în proiect, inclusiv contribuțiile și celelalte costuri aferente remunerației, cu condiția încadrării în nivelurile practicate în mod obișnuit de beneficiar și respectării legislației aplicabile.</w:t>
      </w:r>
    </w:p>
    <w:p w14:paraId="741AB7B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Transport: bilete și abonamente pentru transport public, transportul echipamentelor și materialelor, bonuri de combustibil. Pentru autoturismele personale utilizate în cadrul proiectului se vor prezenta documentele justificative și, după caz, contracte de comodat.</w:t>
      </w:r>
    </w:p>
    <w:p w14:paraId="4005E92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Diurne: cheltuieli de cazare și masă aferente persoanelor implicate în derularea proiectului, pentru deplasări în afara localității în care solicitantul își are sediul, în interesul justificat al proiectului, în condițiile legii.</w:t>
      </w:r>
    </w:p>
    <w:p w14:paraId="3DCE4DB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Închirieri: echipamente, mijloace de transport, săli pentru activități.</w:t>
      </w:r>
    </w:p>
    <w:p w14:paraId="2E88497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Consumabile.</w:t>
      </w:r>
    </w:p>
    <w:p w14:paraId="3D760D0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Achiziții de echipamente și bunuri, cu excepția autovehiculelor.</w:t>
      </w:r>
    </w:p>
    <w:p w14:paraId="74DDA57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lastRenderedPageBreak/>
        <w:t>• Achiziții de servicii: activități prestate de persoane juridice sau fizice care nu se încadrează la categoria onorariilor, de exemplu traduceri, tehnoredactare, developare/montaj materiale foto-video, reparații și întreținere aparatură, publicații, tipărituri, broșuri, pliante, afișe, publicitate etc.</w:t>
      </w:r>
    </w:p>
    <w:p w14:paraId="7622D392"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Alte cheltuieli: cheltuieli care nu pot fi încadrate în categoriile de mai sus, dar sunt justificate și necesare pentru activitățile proiectului.</w:t>
      </w:r>
    </w:p>
    <w:p w14:paraId="311B918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Costuri administrative: până la cel mult 7% din totalul costurilor eligibile directe, pentru partea de cheltuieli administrative alocabilă proiectului, cum ar fi chirie sediu, apă, canal, electricitate, comunicații, gaze etc.</w:t>
      </w:r>
    </w:p>
    <w:p w14:paraId="09AAF43D"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Costuri neeligibile</w:t>
      </w:r>
    </w:p>
    <w:p w14:paraId="7E6875D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achiziționarea de autovehicule, terenuri sau clădiri;</w:t>
      </w:r>
    </w:p>
    <w:p w14:paraId="087E97D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contribuțiile în natură ale beneficiarului;</w:t>
      </w:r>
    </w:p>
    <w:p w14:paraId="7B941D5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dezvoltarea infrastructurii solicitantului, cu excepția situației în care o componentă este indispensabilă proiectului și este permisă în mod expres prin documentația aprobată;</w:t>
      </w:r>
    </w:p>
    <w:p w14:paraId="7C36BE0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datorii și provizioane pentru pierderi sau datorii;</w:t>
      </w:r>
    </w:p>
    <w:p w14:paraId="5B25764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dobânzi datorate, penalități și amenzi;</w:t>
      </w:r>
    </w:p>
    <w:p w14:paraId="47364F6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articole deja finanțate prin orice altă sursă de finanțare;</w:t>
      </w:r>
    </w:p>
    <w:p w14:paraId="0990768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costuri cu formarea generală a personalului proiectului, burse de studiu și sponsorizări individuale;</w:t>
      </w:r>
    </w:p>
    <w:p w14:paraId="061F488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cheltuieli efectuate în afara perioadei eligibile stabilite prin contract.</w:t>
      </w:r>
    </w:p>
    <w:p w14:paraId="792CFFDB"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CAPITOLUL III – CEREREA DE FINANȚARE</w:t>
      </w:r>
    </w:p>
    <w:p w14:paraId="4E607EF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Cererile de finanțare trebuie înaintate respectând formularul Cererii de finanțare anexat prezentului Ghid. Formularul va fi pus la dispoziție pe site-ul Consiliului Județean Dolj.</w:t>
      </w:r>
    </w:p>
    <w:p w14:paraId="66F31CFF"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Solicitanții trebuie să respecte formatul cererii de finanțare și să completeze toate secțiunile și paginile în ordinea prevăzută.</w:t>
      </w:r>
    </w:p>
    <w:p w14:paraId="17AC51FC"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A. Proiectul</w:t>
      </w:r>
    </w:p>
    <w:p w14:paraId="48D1E0E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Această parte conține datele referitoare la titlul proiectului, perioada de desfășurare propriu-zisă a programului/proiectului/acțiunii, fără perioada de pregătire și evaluare, și locul/locurile de desfășurare.</w:t>
      </w:r>
    </w:p>
    <w:p w14:paraId="36ACD149"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B. Date generale ale solicitantului</w:t>
      </w:r>
    </w:p>
    <w:p w14:paraId="1EE5A42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completa toate datele de identificare solicitate pentru persoana juridică: denumire, sediu, cod de identificare, date de contact, cont bancar și alte informații prevăzute în formular. Orice modificare a datelor de contact va fi comunicată Consiliului Județean Dolj imediat după intervenirea acesteia.</w:t>
      </w:r>
    </w:p>
    <w:p w14:paraId="6AD83733"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 Datele coordonatorului de proiect/reprezentantului legal</w:t>
      </w:r>
    </w:p>
    <w:p w14:paraId="03CA8C1A"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completa informațiile solicitate în cererea de finanțare cu datele coordonatorului de proiect și/sau reprezentantului legal al organizației.</w:t>
      </w:r>
    </w:p>
    <w:p w14:paraId="0C6D7C91"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lastRenderedPageBreak/>
        <w:t>D. Scurt rezumat al proiectului</w:t>
      </w:r>
    </w:p>
    <w:p w14:paraId="5F50863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va menționa durata proiectului, obiectivele generale și concrete, gradul de continuitate/inovație, partenerii, grupurile țintă, beneficiarii finali și rezultatele așteptate, concrete și cuantificabile.</w:t>
      </w:r>
    </w:p>
    <w:p w14:paraId="2F39C705"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E. Descrierea proiectului</w:t>
      </w:r>
    </w:p>
    <w:p w14:paraId="5694D8E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explica contextul, originea și obiectivele proiectului și modul în care acesta se încadrează în viața social-culturală a tineretului. Se vor prezenta obiectivele generale și specifice.</w:t>
      </w:r>
    </w:p>
    <w:p w14:paraId="27518702"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F. Justificarea proiectului</w:t>
      </w:r>
    </w:p>
    <w:p w14:paraId="7DB52BF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explica nevoile actuale cărora le răspunde proiectul, alegerea grupurilor țintă, modul de selecție a beneficiarilor și motivația derulării proiectului.</w:t>
      </w:r>
    </w:p>
    <w:p w14:paraId="2A63C30C"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G. Partenerii proiectului</w:t>
      </w:r>
    </w:p>
    <w:p w14:paraId="503E7EFF"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nominaliza partenerii și se vor detalia atribuțiile și contribuțiile fiecăruia.</w:t>
      </w:r>
    </w:p>
    <w:p w14:paraId="089ADC19"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H. Activități preconizate și detalierea lor în timp</w:t>
      </w:r>
    </w:p>
    <w:p w14:paraId="37FA6E4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prezenta toate activitățile proiectului, perioada de pregătire, perioada de desfășurare și perioada de evaluare, precum și evenimentele/activitățile principale.</w:t>
      </w:r>
    </w:p>
    <w:p w14:paraId="1D660A77"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I. Rezultate preconizate</w:t>
      </w:r>
    </w:p>
    <w:p w14:paraId="6EAC3B3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prezenta rezultatele așteptate, concrete și cuantificabile, precum și indicatorii verificabili și obiectivi care permit monitorizarea și evaluarea.</w:t>
      </w:r>
    </w:p>
    <w:p w14:paraId="606796F9"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J. Bugetul detaliat</w:t>
      </w:r>
    </w:p>
    <w:p w14:paraId="0117B61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vor completa categoriile și subcategoriile bugetare de cheltuieli conform Anexei 2.</w:t>
      </w:r>
    </w:p>
    <w:p w14:paraId="05B1257D"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K. Vizibilitatea proiectului</w:t>
      </w:r>
    </w:p>
    <w:p w14:paraId="77F7E86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va descrie modul în care se va asigura vizibilitatea proiectului și a sprijinului acordat de Consiliul Județean Dolj.</w:t>
      </w:r>
    </w:p>
    <w:p w14:paraId="7C9C95E3"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L. Sustenabilitate</w:t>
      </w:r>
    </w:p>
    <w:p w14:paraId="1E2F22D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Se va prezenta capacitatea solicitantului de a menține efectele pozitive ale proiectului pe termen lung, precum și continuitatea și repetabilitatea proiectului.</w:t>
      </w:r>
    </w:p>
    <w:p w14:paraId="1157A7C9" w14:textId="77777777" w:rsidR="0082374E" w:rsidRPr="0071324B" w:rsidRDefault="00000000" w:rsidP="0071324B">
      <w:pPr>
        <w:pStyle w:val="Heading3"/>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M. Semnătura reprezentantului legal</w:t>
      </w:r>
    </w:p>
    <w:p w14:paraId="6ACC872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Cererea de finanțare va fi semnată de reprezentantul legal al organizației care derulează proiectul.</w:t>
      </w:r>
    </w:p>
    <w:p w14:paraId="436A1220"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CAPITOLUL IV – EVALUAREA ȘI SELECȚIA CERERILOR DE FINANȚARE</w:t>
      </w:r>
    </w:p>
    <w:p w14:paraId="5746348F"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Aplicațiile vor fi examinate și evaluate de către o comisie constituită prin dispoziția Președintelui Consiliului Județean Dolj.</w:t>
      </w:r>
    </w:p>
    <w:p w14:paraId="3B5B311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Toate proiectele solicitanților vor fi evaluate conform următoarelor etape:</w:t>
      </w:r>
    </w:p>
    <w:p w14:paraId="3477CCE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1. Verificarea eligibilității solicitantului – pe baza documentelor suport solicitate și a criteriilor de eligibilitate prezentate în Ghid.</w:t>
      </w:r>
    </w:p>
    <w:p w14:paraId="72FB6EB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lastRenderedPageBreak/>
        <w:t>2. Evaluarea cererii de finanțare – evaluarea calității propunerii, inclusiv a bugetului propus și a capacității solicitantului și/sau partenerilor, în conformitate cu Grila de evaluare.</w:t>
      </w:r>
    </w:p>
    <w:p w14:paraId="32D324F1"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GRILA DE EVALUARE</w:t>
      </w:r>
    </w:p>
    <w:tbl>
      <w:tblPr>
        <w:tblStyle w:val="TableGrid"/>
        <w:tblW w:w="0" w:type="auto"/>
        <w:jc w:val="center"/>
        <w:tblLook w:val="04A0" w:firstRow="1" w:lastRow="0" w:firstColumn="1" w:lastColumn="0" w:noHBand="0" w:noVBand="1"/>
      </w:tblPr>
      <w:tblGrid>
        <w:gridCol w:w="630"/>
        <w:gridCol w:w="8292"/>
        <w:gridCol w:w="936"/>
      </w:tblGrid>
      <w:tr w:rsidR="0071324B" w:rsidRPr="0071324B" w14:paraId="6E9360B7" w14:textId="77777777" w:rsidTr="00E12879">
        <w:trPr>
          <w:jc w:val="center"/>
        </w:trPr>
        <w:tc>
          <w:tcPr>
            <w:tcW w:w="617" w:type="dxa"/>
            <w:vAlign w:val="center"/>
          </w:tcPr>
          <w:p w14:paraId="693D0FE2" w14:textId="77777777" w:rsidR="0082374E" w:rsidRPr="0071324B" w:rsidRDefault="00000000" w:rsidP="0071324B">
            <w:pPr>
              <w:jc w:val="both"/>
              <w:rPr>
                <w:rFonts w:ascii="Times New Roman" w:hAnsi="Times New Roman" w:cs="Times New Roman"/>
                <w:sz w:val="24"/>
                <w:szCs w:val="24"/>
              </w:rPr>
            </w:pPr>
            <w:r w:rsidRPr="0071324B">
              <w:rPr>
                <w:rFonts w:ascii="Times New Roman" w:hAnsi="Times New Roman" w:cs="Times New Roman"/>
                <w:sz w:val="24"/>
                <w:szCs w:val="24"/>
              </w:rPr>
              <w:t>Nr. crt.</w:t>
            </w:r>
          </w:p>
        </w:tc>
        <w:tc>
          <w:tcPr>
            <w:tcW w:w="8292" w:type="dxa"/>
            <w:vAlign w:val="center"/>
          </w:tcPr>
          <w:p w14:paraId="6697453D" w14:textId="77777777" w:rsidR="0082374E" w:rsidRPr="0071324B" w:rsidRDefault="00000000" w:rsidP="0071324B">
            <w:pPr>
              <w:jc w:val="both"/>
              <w:rPr>
                <w:rFonts w:ascii="Times New Roman" w:hAnsi="Times New Roman" w:cs="Times New Roman"/>
                <w:sz w:val="24"/>
                <w:szCs w:val="24"/>
              </w:rPr>
            </w:pPr>
            <w:r w:rsidRPr="0071324B">
              <w:rPr>
                <w:rFonts w:ascii="Times New Roman" w:hAnsi="Times New Roman" w:cs="Times New Roman"/>
                <w:sz w:val="24"/>
                <w:szCs w:val="24"/>
              </w:rPr>
              <w:t>Criterii de apreciere / subcriterii de apreciere</w:t>
            </w:r>
          </w:p>
        </w:tc>
        <w:tc>
          <w:tcPr>
            <w:tcW w:w="936" w:type="dxa"/>
            <w:vAlign w:val="center"/>
          </w:tcPr>
          <w:p w14:paraId="544823D4" w14:textId="77777777" w:rsidR="0082374E" w:rsidRPr="0071324B" w:rsidRDefault="00000000" w:rsidP="0071324B">
            <w:pPr>
              <w:jc w:val="both"/>
              <w:rPr>
                <w:rFonts w:ascii="Times New Roman" w:hAnsi="Times New Roman" w:cs="Times New Roman"/>
                <w:sz w:val="24"/>
                <w:szCs w:val="24"/>
              </w:rPr>
            </w:pPr>
            <w:r w:rsidRPr="0071324B">
              <w:rPr>
                <w:rFonts w:ascii="Times New Roman" w:hAnsi="Times New Roman" w:cs="Times New Roman"/>
                <w:sz w:val="24"/>
                <w:szCs w:val="24"/>
              </w:rPr>
              <w:t>Punctaj maxim</w:t>
            </w:r>
          </w:p>
        </w:tc>
      </w:tr>
      <w:tr w:rsidR="006E426B" w:rsidRPr="0071324B" w14:paraId="0E68E9E4" w14:textId="77777777" w:rsidTr="00E12879">
        <w:trPr>
          <w:jc w:val="center"/>
        </w:trPr>
        <w:tc>
          <w:tcPr>
            <w:tcW w:w="617" w:type="dxa"/>
            <w:vMerge w:val="restart"/>
            <w:vAlign w:val="center"/>
          </w:tcPr>
          <w:p w14:paraId="52C7D197" w14:textId="77777777" w:rsidR="006E426B" w:rsidRPr="009B1100" w:rsidRDefault="006E426B"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C1</w:t>
            </w:r>
          </w:p>
          <w:p w14:paraId="56C0799A" w14:textId="7C9BE14F" w:rsidR="006E426B" w:rsidRPr="009B1100" w:rsidRDefault="006E426B" w:rsidP="0071324B">
            <w:pPr>
              <w:jc w:val="both"/>
              <w:rPr>
                <w:rFonts w:ascii="Times New Roman" w:hAnsi="Times New Roman" w:cs="Times New Roman"/>
                <w:b/>
                <w:bCs/>
                <w:sz w:val="24"/>
                <w:szCs w:val="24"/>
              </w:rPr>
            </w:pPr>
          </w:p>
          <w:p w14:paraId="26F2517B" w14:textId="6D06DBD6" w:rsidR="006E426B" w:rsidRPr="009B1100" w:rsidRDefault="006E426B"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392C9F0B" w14:textId="7BFB29BE" w:rsidR="006E426B" w:rsidRPr="00E12879" w:rsidRDefault="006E426B" w:rsidP="0071324B">
            <w:pPr>
              <w:jc w:val="both"/>
              <w:rPr>
                <w:rFonts w:ascii="Times New Roman" w:hAnsi="Times New Roman" w:cs="Times New Roman"/>
                <w:b/>
                <w:bCs/>
                <w:sz w:val="24"/>
                <w:szCs w:val="24"/>
              </w:rPr>
            </w:pPr>
            <w:proofErr w:type="spellStart"/>
            <w:r w:rsidRPr="00E12879">
              <w:rPr>
                <w:rFonts w:ascii="Times New Roman" w:hAnsi="Times New Roman" w:cs="Times New Roman"/>
                <w:b/>
                <w:bCs/>
                <w:sz w:val="24"/>
                <w:szCs w:val="24"/>
              </w:rPr>
              <w:t>Problema</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identificată</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este</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reală</w:t>
            </w:r>
            <w:proofErr w:type="spellEnd"/>
            <w:r w:rsidRPr="00E12879">
              <w:rPr>
                <w:rFonts w:ascii="Times New Roman" w:hAnsi="Times New Roman" w:cs="Times New Roman"/>
                <w:b/>
                <w:bCs/>
                <w:sz w:val="24"/>
                <w:szCs w:val="24"/>
              </w:rPr>
              <w:t xml:space="preserve">, concretă, stringentă </w:t>
            </w:r>
            <w:proofErr w:type="spellStart"/>
            <w:r w:rsidRPr="00E12879">
              <w:rPr>
                <w:rFonts w:ascii="Times New Roman" w:hAnsi="Times New Roman" w:cs="Times New Roman"/>
                <w:b/>
                <w:bCs/>
                <w:sz w:val="24"/>
                <w:szCs w:val="24"/>
              </w:rPr>
              <w:t>și</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abordabilă</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în</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sensul</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diminuării</w:t>
            </w:r>
            <w:proofErr w:type="spellEnd"/>
            <w:r w:rsidRPr="00E12879">
              <w:rPr>
                <w:rFonts w:ascii="Times New Roman" w:hAnsi="Times New Roman" w:cs="Times New Roman"/>
                <w:b/>
                <w:bCs/>
                <w:sz w:val="24"/>
                <w:szCs w:val="24"/>
              </w:rPr>
              <w:t>/</w:t>
            </w:r>
            <w:proofErr w:type="spellStart"/>
            <w:r w:rsidRPr="00E12879">
              <w:rPr>
                <w:rFonts w:ascii="Times New Roman" w:hAnsi="Times New Roman" w:cs="Times New Roman"/>
                <w:b/>
                <w:bCs/>
                <w:sz w:val="24"/>
                <w:szCs w:val="24"/>
              </w:rPr>
              <w:t>rezolvării</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acesteia</w:t>
            </w:r>
            <w:proofErr w:type="spellEnd"/>
            <w:r w:rsidR="00E12879" w:rsidRPr="00E12879">
              <w:rPr>
                <w:rFonts w:ascii="Times New Roman" w:hAnsi="Times New Roman" w:cs="Times New Roman"/>
                <w:b/>
                <w:bCs/>
                <w:sz w:val="24"/>
                <w:szCs w:val="24"/>
              </w:rPr>
              <w:t xml:space="preserve">, </w:t>
            </w:r>
            <w:proofErr w:type="spellStart"/>
            <w:r w:rsidR="00E12879" w:rsidRPr="00E12879">
              <w:rPr>
                <w:rFonts w:ascii="Times New Roman" w:hAnsi="Times New Roman" w:cs="Times New Roman"/>
                <w:b/>
                <w:bCs/>
                <w:sz w:val="24"/>
                <w:szCs w:val="24"/>
              </w:rPr>
              <w:t>calculat</w:t>
            </w:r>
            <w:proofErr w:type="spellEnd"/>
            <w:r w:rsidR="00E12879" w:rsidRPr="00E12879">
              <w:rPr>
                <w:rFonts w:ascii="Times New Roman" w:hAnsi="Times New Roman" w:cs="Times New Roman"/>
                <w:b/>
                <w:bCs/>
                <w:sz w:val="24"/>
                <w:szCs w:val="24"/>
              </w:rPr>
              <w:t xml:space="preserve"> </w:t>
            </w:r>
            <w:proofErr w:type="spellStart"/>
            <w:r w:rsidR="00E12879" w:rsidRPr="00E12879">
              <w:rPr>
                <w:rFonts w:ascii="Times New Roman" w:hAnsi="Times New Roman" w:cs="Times New Roman"/>
                <w:b/>
                <w:bCs/>
                <w:sz w:val="24"/>
                <w:szCs w:val="24"/>
              </w:rPr>
              <w:t>astfel</w:t>
            </w:r>
            <w:proofErr w:type="spellEnd"/>
            <w:r w:rsidR="00E12879" w:rsidRPr="00E12879">
              <w:rPr>
                <w:rFonts w:ascii="Times New Roman" w:hAnsi="Times New Roman" w:cs="Times New Roman"/>
                <w:b/>
                <w:bCs/>
                <w:sz w:val="24"/>
                <w:szCs w:val="24"/>
              </w:rPr>
              <w:t>:</w:t>
            </w:r>
          </w:p>
        </w:tc>
        <w:tc>
          <w:tcPr>
            <w:tcW w:w="936" w:type="dxa"/>
            <w:shd w:val="clear" w:color="auto" w:fill="BFBFBF" w:themeFill="background1" w:themeFillShade="BF"/>
            <w:vAlign w:val="center"/>
          </w:tcPr>
          <w:p w14:paraId="7FDE4E25" w14:textId="77777777" w:rsidR="006E426B" w:rsidRPr="00E12879" w:rsidRDefault="006E426B"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6E426B" w:rsidRPr="0071324B" w14:paraId="7246C432" w14:textId="77777777" w:rsidTr="00E12879">
        <w:trPr>
          <w:jc w:val="center"/>
        </w:trPr>
        <w:tc>
          <w:tcPr>
            <w:tcW w:w="617" w:type="dxa"/>
            <w:vMerge/>
            <w:vAlign w:val="center"/>
          </w:tcPr>
          <w:p w14:paraId="69E17A76" w14:textId="0A935F9D" w:rsidR="006E426B" w:rsidRPr="009B1100" w:rsidRDefault="006E426B" w:rsidP="0071324B">
            <w:pPr>
              <w:jc w:val="both"/>
              <w:rPr>
                <w:rFonts w:ascii="Times New Roman" w:hAnsi="Times New Roman" w:cs="Times New Roman"/>
                <w:b/>
                <w:bCs/>
                <w:sz w:val="24"/>
                <w:szCs w:val="24"/>
              </w:rPr>
            </w:pPr>
          </w:p>
        </w:tc>
        <w:tc>
          <w:tcPr>
            <w:tcW w:w="8292" w:type="dxa"/>
            <w:vAlign w:val="center"/>
          </w:tcPr>
          <w:p w14:paraId="0A23E846" w14:textId="77777777" w:rsidR="006E426B" w:rsidRPr="0071324B" w:rsidRDefault="006E426B" w:rsidP="0071324B">
            <w:pPr>
              <w:jc w:val="both"/>
              <w:rPr>
                <w:rFonts w:ascii="Times New Roman" w:hAnsi="Times New Roman" w:cs="Times New Roman"/>
                <w:sz w:val="24"/>
                <w:szCs w:val="24"/>
              </w:rPr>
            </w:pPr>
            <w:r w:rsidRPr="0071324B">
              <w:rPr>
                <w:rFonts w:ascii="Times New Roman" w:hAnsi="Times New Roman" w:cs="Times New Roman"/>
                <w:sz w:val="24"/>
                <w:szCs w:val="24"/>
              </w:rPr>
              <w:t>SC1 – Problema identificată este reală, concretă, stringentă</w:t>
            </w:r>
          </w:p>
        </w:tc>
        <w:tc>
          <w:tcPr>
            <w:tcW w:w="936" w:type="dxa"/>
            <w:vAlign w:val="center"/>
          </w:tcPr>
          <w:p w14:paraId="1E926C05" w14:textId="77777777" w:rsidR="006E426B" w:rsidRPr="0071324B" w:rsidRDefault="006E426B"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6E426B" w:rsidRPr="0071324B" w14:paraId="1B01B9C5" w14:textId="77777777" w:rsidTr="00E12879">
        <w:trPr>
          <w:jc w:val="center"/>
        </w:trPr>
        <w:tc>
          <w:tcPr>
            <w:tcW w:w="617" w:type="dxa"/>
            <w:vMerge/>
            <w:vAlign w:val="center"/>
          </w:tcPr>
          <w:p w14:paraId="1FE19DD7" w14:textId="24737F24" w:rsidR="006E426B" w:rsidRPr="009B1100" w:rsidRDefault="006E426B" w:rsidP="0071324B">
            <w:pPr>
              <w:jc w:val="both"/>
              <w:rPr>
                <w:rFonts w:ascii="Times New Roman" w:hAnsi="Times New Roman" w:cs="Times New Roman"/>
                <w:b/>
                <w:bCs/>
                <w:sz w:val="24"/>
                <w:szCs w:val="24"/>
              </w:rPr>
            </w:pPr>
          </w:p>
        </w:tc>
        <w:tc>
          <w:tcPr>
            <w:tcW w:w="8292" w:type="dxa"/>
            <w:vAlign w:val="center"/>
          </w:tcPr>
          <w:p w14:paraId="2D70F555" w14:textId="77777777" w:rsidR="006E426B" w:rsidRPr="0071324B" w:rsidRDefault="006E426B" w:rsidP="0071324B">
            <w:pPr>
              <w:jc w:val="both"/>
              <w:rPr>
                <w:rFonts w:ascii="Times New Roman" w:hAnsi="Times New Roman" w:cs="Times New Roman"/>
                <w:sz w:val="24"/>
                <w:szCs w:val="24"/>
              </w:rPr>
            </w:pPr>
            <w:r w:rsidRPr="0071324B">
              <w:rPr>
                <w:rFonts w:ascii="Times New Roman" w:hAnsi="Times New Roman" w:cs="Times New Roman"/>
                <w:sz w:val="24"/>
                <w:szCs w:val="24"/>
              </w:rPr>
              <w:t>SC2 – Justificarea necesității implementării proiectului</w:t>
            </w:r>
          </w:p>
        </w:tc>
        <w:tc>
          <w:tcPr>
            <w:tcW w:w="936" w:type="dxa"/>
            <w:vAlign w:val="center"/>
          </w:tcPr>
          <w:p w14:paraId="61808881" w14:textId="77777777" w:rsidR="006E426B" w:rsidRPr="0071324B" w:rsidRDefault="006E426B"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7ECC7C56" w14:textId="77777777" w:rsidTr="00E12879">
        <w:trPr>
          <w:jc w:val="center"/>
        </w:trPr>
        <w:tc>
          <w:tcPr>
            <w:tcW w:w="617" w:type="dxa"/>
            <w:vMerge w:val="restart"/>
            <w:vAlign w:val="center"/>
          </w:tcPr>
          <w:p w14:paraId="5167D5B6" w14:textId="77777777" w:rsidR="00E12879" w:rsidRPr="009B1100" w:rsidRDefault="00E12879"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C2</w:t>
            </w:r>
          </w:p>
          <w:p w14:paraId="2C408C8A" w14:textId="49839DA3" w:rsidR="00E12879" w:rsidRPr="009B1100" w:rsidRDefault="00E12879"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435C5908" w14:textId="7A48FAE2" w:rsidR="00E12879" w:rsidRPr="00E12879" w:rsidRDefault="00E12879"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 xml:space="preserve">Obiectivele specifice sunt clar definite, specifice, măsurabile, abordabile, realiste și încadrabile în </w:t>
            </w:r>
            <w:proofErr w:type="spellStart"/>
            <w:r w:rsidRPr="00E12879">
              <w:rPr>
                <w:rFonts w:ascii="Times New Roman" w:hAnsi="Times New Roman" w:cs="Times New Roman"/>
                <w:b/>
                <w:bCs/>
                <w:sz w:val="24"/>
                <w:szCs w:val="24"/>
              </w:rPr>
              <w:t>timp</w:t>
            </w:r>
            <w:proofErr w:type="spellEnd"/>
            <w:r w:rsidRPr="00E12879">
              <w:rPr>
                <w:rFonts w:ascii="Times New Roman" w:hAnsi="Times New Roman" w:cs="Times New Roman"/>
                <w:b/>
                <w:bCs/>
                <w:sz w:val="24"/>
                <w:szCs w:val="24"/>
              </w:rPr>
              <w:t xml:space="preserve"> – </w:t>
            </w:r>
            <w:proofErr w:type="gramStart"/>
            <w:r w:rsidRPr="00E12879">
              <w:rPr>
                <w:rFonts w:ascii="Times New Roman" w:hAnsi="Times New Roman" w:cs="Times New Roman"/>
                <w:b/>
                <w:bCs/>
                <w:sz w:val="24"/>
                <w:szCs w:val="24"/>
              </w:rPr>
              <w:t xml:space="preserve">SMART,  </w:t>
            </w:r>
            <w:proofErr w:type="spellStart"/>
            <w:r w:rsidRPr="00E12879">
              <w:rPr>
                <w:rFonts w:ascii="Times New Roman" w:hAnsi="Times New Roman" w:cs="Times New Roman"/>
                <w:b/>
                <w:bCs/>
                <w:sz w:val="24"/>
                <w:szCs w:val="24"/>
              </w:rPr>
              <w:t>calculat</w:t>
            </w:r>
            <w:proofErr w:type="spellEnd"/>
            <w:proofErr w:type="gram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astfel</w:t>
            </w:r>
            <w:proofErr w:type="spellEnd"/>
            <w:r w:rsidRPr="00E12879">
              <w:rPr>
                <w:rFonts w:ascii="Times New Roman" w:hAnsi="Times New Roman" w:cs="Times New Roman"/>
                <w:b/>
                <w:bCs/>
                <w:sz w:val="24"/>
                <w:szCs w:val="24"/>
              </w:rPr>
              <w:t>:</w:t>
            </w:r>
          </w:p>
        </w:tc>
        <w:tc>
          <w:tcPr>
            <w:tcW w:w="936" w:type="dxa"/>
            <w:shd w:val="clear" w:color="auto" w:fill="BFBFBF" w:themeFill="background1" w:themeFillShade="BF"/>
            <w:vAlign w:val="center"/>
          </w:tcPr>
          <w:p w14:paraId="48D06C03" w14:textId="77777777" w:rsidR="00E12879" w:rsidRPr="00E12879" w:rsidRDefault="00E12879"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582758CB" w14:textId="77777777" w:rsidTr="00E12879">
        <w:trPr>
          <w:jc w:val="center"/>
        </w:trPr>
        <w:tc>
          <w:tcPr>
            <w:tcW w:w="617" w:type="dxa"/>
            <w:vMerge/>
            <w:vAlign w:val="center"/>
          </w:tcPr>
          <w:p w14:paraId="05CAF9DD" w14:textId="73605348"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56E04842"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SC1 – Obiectivele sunt specifice</w:t>
            </w:r>
          </w:p>
        </w:tc>
        <w:tc>
          <w:tcPr>
            <w:tcW w:w="936" w:type="dxa"/>
            <w:vAlign w:val="center"/>
          </w:tcPr>
          <w:p w14:paraId="7540F5EC"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2</w:t>
            </w:r>
          </w:p>
        </w:tc>
      </w:tr>
      <w:tr w:rsidR="00E12879" w:rsidRPr="0071324B" w14:paraId="2972B495" w14:textId="77777777" w:rsidTr="00E12879">
        <w:trPr>
          <w:jc w:val="center"/>
        </w:trPr>
        <w:tc>
          <w:tcPr>
            <w:tcW w:w="617" w:type="dxa"/>
            <w:vMerge/>
            <w:vAlign w:val="center"/>
          </w:tcPr>
          <w:p w14:paraId="78863989" w14:textId="0E7BCC42"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505A3C26"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SC2 – Obiectivele sunt măsurabile</w:t>
            </w:r>
          </w:p>
        </w:tc>
        <w:tc>
          <w:tcPr>
            <w:tcW w:w="936" w:type="dxa"/>
            <w:vAlign w:val="center"/>
          </w:tcPr>
          <w:p w14:paraId="30C24F8D"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2</w:t>
            </w:r>
          </w:p>
        </w:tc>
      </w:tr>
      <w:tr w:rsidR="00E12879" w:rsidRPr="0071324B" w14:paraId="25A60ADD" w14:textId="77777777" w:rsidTr="00E12879">
        <w:trPr>
          <w:jc w:val="center"/>
        </w:trPr>
        <w:tc>
          <w:tcPr>
            <w:tcW w:w="617" w:type="dxa"/>
            <w:vMerge/>
            <w:vAlign w:val="center"/>
          </w:tcPr>
          <w:p w14:paraId="3086823C" w14:textId="7412799B"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333F03ED"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SC3 – Obiectivele sunt abordabile</w:t>
            </w:r>
          </w:p>
        </w:tc>
        <w:tc>
          <w:tcPr>
            <w:tcW w:w="936" w:type="dxa"/>
            <w:vAlign w:val="center"/>
          </w:tcPr>
          <w:p w14:paraId="1386638E"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2</w:t>
            </w:r>
          </w:p>
        </w:tc>
      </w:tr>
      <w:tr w:rsidR="00E12879" w:rsidRPr="0071324B" w14:paraId="7D29D4E5" w14:textId="77777777" w:rsidTr="00E12879">
        <w:trPr>
          <w:jc w:val="center"/>
        </w:trPr>
        <w:tc>
          <w:tcPr>
            <w:tcW w:w="617" w:type="dxa"/>
            <w:vMerge/>
            <w:vAlign w:val="center"/>
          </w:tcPr>
          <w:p w14:paraId="6DFB96AD" w14:textId="2314CB53"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67D0553E"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SC4 – Obiectivele sunt realiste</w:t>
            </w:r>
          </w:p>
        </w:tc>
        <w:tc>
          <w:tcPr>
            <w:tcW w:w="936" w:type="dxa"/>
            <w:vAlign w:val="center"/>
          </w:tcPr>
          <w:p w14:paraId="3E632907"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2</w:t>
            </w:r>
          </w:p>
        </w:tc>
      </w:tr>
      <w:tr w:rsidR="00E12879" w:rsidRPr="0071324B" w14:paraId="25990976" w14:textId="77777777" w:rsidTr="00E12879">
        <w:trPr>
          <w:jc w:val="center"/>
        </w:trPr>
        <w:tc>
          <w:tcPr>
            <w:tcW w:w="617" w:type="dxa"/>
            <w:vMerge/>
            <w:vAlign w:val="center"/>
          </w:tcPr>
          <w:p w14:paraId="48D94FD9" w14:textId="0B56F7F9"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53D91F02"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SC5 – Obiectivele sunt încadrabile în timp</w:t>
            </w:r>
          </w:p>
        </w:tc>
        <w:tc>
          <w:tcPr>
            <w:tcW w:w="936" w:type="dxa"/>
            <w:vAlign w:val="center"/>
          </w:tcPr>
          <w:p w14:paraId="4B876E23"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2</w:t>
            </w:r>
          </w:p>
        </w:tc>
      </w:tr>
      <w:tr w:rsidR="00E12879" w:rsidRPr="0071324B" w14:paraId="0D2DFD69" w14:textId="77777777" w:rsidTr="00E12879">
        <w:trPr>
          <w:jc w:val="center"/>
        </w:trPr>
        <w:tc>
          <w:tcPr>
            <w:tcW w:w="617" w:type="dxa"/>
            <w:vMerge w:val="restart"/>
            <w:vAlign w:val="center"/>
          </w:tcPr>
          <w:p w14:paraId="71F75244" w14:textId="77777777" w:rsidR="00E12879" w:rsidRPr="009B1100" w:rsidRDefault="00E12879"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C3</w:t>
            </w:r>
          </w:p>
          <w:p w14:paraId="7B0CB80C" w14:textId="0622B6E7" w:rsidR="00E12879" w:rsidRPr="009B1100" w:rsidRDefault="00E12879"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31FDAFCD" w14:textId="77777777" w:rsidR="00E12879" w:rsidRPr="00E12879" w:rsidRDefault="00E12879"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Există concordanță între obiectivul general, obiectivele specifice și indicatori</w:t>
            </w:r>
          </w:p>
        </w:tc>
        <w:tc>
          <w:tcPr>
            <w:tcW w:w="936" w:type="dxa"/>
            <w:shd w:val="clear" w:color="auto" w:fill="BFBFBF" w:themeFill="background1" w:themeFillShade="BF"/>
            <w:vAlign w:val="center"/>
          </w:tcPr>
          <w:p w14:paraId="6C4E26A8" w14:textId="77777777" w:rsidR="00E12879" w:rsidRPr="00E12879" w:rsidRDefault="00E12879"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48ABF462" w14:textId="77777777" w:rsidTr="00E12879">
        <w:trPr>
          <w:jc w:val="center"/>
        </w:trPr>
        <w:tc>
          <w:tcPr>
            <w:tcW w:w="617" w:type="dxa"/>
            <w:vMerge/>
            <w:vAlign w:val="center"/>
          </w:tcPr>
          <w:p w14:paraId="385F5AB8" w14:textId="73CF4783"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3D2819D0"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SC1 – Există concordanță între obiectivul general și obiectivele specifice</w:t>
            </w:r>
          </w:p>
        </w:tc>
        <w:tc>
          <w:tcPr>
            <w:tcW w:w="936" w:type="dxa"/>
            <w:vAlign w:val="center"/>
          </w:tcPr>
          <w:p w14:paraId="467319A7"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62526D4B" w14:textId="77777777" w:rsidTr="00E12879">
        <w:trPr>
          <w:jc w:val="center"/>
        </w:trPr>
        <w:tc>
          <w:tcPr>
            <w:tcW w:w="617" w:type="dxa"/>
            <w:vMerge/>
            <w:vAlign w:val="center"/>
          </w:tcPr>
          <w:p w14:paraId="07CB2FD8" w14:textId="4FB869F5"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18F71596"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SC2 – Există concordanță între obiectivele specifice și indicatori</w:t>
            </w:r>
          </w:p>
        </w:tc>
        <w:tc>
          <w:tcPr>
            <w:tcW w:w="936" w:type="dxa"/>
            <w:vAlign w:val="center"/>
          </w:tcPr>
          <w:p w14:paraId="5A03E419"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64166436" w14:textId="77777777" w:rsidTr="00E12879">
        <w:trPr>
          <w:jc w:val="center"/>
        </w:trPr>
        <w:tc>
          <w:tcPr>
            <w:tcW w:w="617" w:type="dxa"/>
            <w:vMerge w:val="restart"/>
            <w:vAlign w:val="center"/>
          </w:tcPr>
          <w:p w14:paraId="2E69DCC3" w14:textId="77777777" w:rsidR="00E12879" w:rsidRPr="009B1100" w:rsidRDefault="00E12879"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C4</w:t>
            </w:r>
          </w:p>
          <w:p w14:paraId="0F37CAC3" w14:textId="1298CA50" w:rsidR="00E12879" w:rsidRPr="009B1100" w:rsidRDefault="00E12879"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6A6A5F9F" w14:textId="12875FC5" w:rsidR="00E12879" w:rsidRPr="00E12879" w:rsidRDefault="00E12879"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 xml:space="preserve">Planul de activități, modul de prezentare, coerența și realismul și măsura în care conduce la </w:t>
            </w:r>
            <w:proofErr w:type="spellStart"/>
            <w:r w:rsidRPr="00E12879">
              <w:rPr>
                <w:rFonts w:ascii="Times New Roman" w:hAnsi="Times New Roman" w:cs="Times New Roman"/>
                <w:b/>
                <w:bCs/>
                <w:sz w:val="24"/>
                <w:szCs w:val="24"/>
              </w:rPr>
              <w:t>atingerea</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rezultatelor</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calculat</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astfel</w:t>
            </w:r>
            <w:proofErr w:type="spellEnd"/>
            <w:r w:rsidRPr="00E12879">
              <w:rPr>
                <w:rFonts w:ascii="Times New Roman" w:hAnsi="Times New Roman" w:cs="Times New Roman"/>
                <w:b/>
                <w:bCs/>
                <w:sz w:val="24"/>
                <w:szCs w:val="24"/>
              </w:rPr>
              <w:t>:</w:t>
            </w:r>
          </w:p>
        </w:tc>
        <w:tc>
          <w:tcPr>
            <w:tcW w:w="936" w:type="dxa"/>
            <w:shd w:val="clear" w:color="auto" w:fill="BFBFBF" w:themeFill="background1" w:themeFillShade="BF"/>
            <w:vAlign w:val="center"/>
          </w:tcPr>
          <w:p w14:paraId="0DE34D3A" w14:textId="77777777" w:rsidR="00E12879" w:rsidRPr="00E12879" w:rsidRDefault="00E12879"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3BA4E1D6" w14:textId="77777777" w:rsidTr="00E12879">
        <w:trPr>
          <w:jc w:val="center"/>
        </w:trPr>
        <w:tc>
          <w:tcPr>
            <w:tcW w:w="617" w:type="dxa"/>
            <w:vMerge/>
            <w:vAlign w:val="center"/>
          </w:tcPr>
          <w:p w14:paraId="4A0F6A05" w14:textId="79DD0085"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4C632C10"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SC1 – Planul de activități, modul de prezentare, coerența și realismul</w:t>
            </w:r>
          </w:p>
        </w:tc>
        <w:tc>
          <w:tcPr>
            <w:tcW w:w="936" w:type="dxa"/>
            <w:vAlign w:val="center"/>
          </w:tcPr>
          <w:p w14:paraId="139E5162"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31019D7B" w14:textId="77777777" w:rsidTr="00E12879">
        <w:trPr>
          <w:jc w:val="center"/>
        </w:trPr>
        <w:tc>
          <w:tcPr>
            <w:tcW w:w="617" w:type="dxa"/>
            <w:vMerge/>
            <w:vAlign w:val="center"/>
          </w:tcPr>
          <w:p w14:paraId="3F78A24A" w14:textId="089280C0"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11F6B8AB"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SC2 – Modalitatea de implementare pentru atingerea rezultatelor</w:t>
            </w:r>
          </w:p>
        </w:tc>
        <w:tc>
          <w:tcPr>
            <w:tcW w:w="936" w:type="dxa"/>
            <w:vAlign w:val="center"/>
          </w:tcPr>
          <w:p w14:paraId="41172C0C"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51373F16" w14:textId="77777777" w:rsidTr="00E12879">
        <w:trPr>
          <w:jc w:val="center"/>
        </w:trPr>
        <w:tc>
          <w:tcPr>
            <w:tcW w:w="617" w:type="dxa"/>
            <w:vMerge w:val="restart"/>
            <w:vAlign w:val="center"/>
          </w:tcPr>
          <w:p w14:paraId="08BFDE6D" w14:textId="77777777" w:rsidR="00E12879" w:rsidRPr="009B1100" w:rsidRDefault="00E12879"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C5</w:t>
            </w:r>
          </w:p>
          <w:p w14:paraId="26033859" w14:textId="14FDF060" w:rsidR="00E12879" w:rsidRPr="009B1100" w:rsidRDefault="00E12879"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64957ECE" w14:textId="6CFB4FA4" w:rsidR="00E12879" w:rsidRPr="00E12879" w:rsidRDefault="00E12879" w:rsidP="0071324B">
            <w:pPr>
              <w:jc w:val="both"/>
              <w:rPr>
                <w:rFonts w:ascii="Times New Roman" w:hAnsi="Times New Roman" w:cs="Times New Roman"/>
                <w:b/>
                <w:bCs/>
                <w:sz w:val="24"/>
                <w:szCs w:val="24"/>
              </w:rPr>
            </w:pPr>
            <w:proofErr w:type="spellStart"/>
            <w:r w:rsidRPr="00E12879">
              <w:rPr>
                <w:rFonts w:ascii="Times New Roman" w:hAnsi="Times New Roman" w:cs="Times New Roman"/>
                <w:b/>
                <w:bCs/>
                <w:sz w:val="24"/>
                <w:szCs w:val="24"/>
              </w:rPr>
              <w:t>Definirea</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clară</w:t>
            </w:r>
            <w:proofErr w:type="spellEnd"/>
            <w:r w:rsidRPr="00E12879">
              <w:rPr>
                <w:rFonts w:ascii="Times New Roman" w:hAnsi="Times New Roman" w:cs="Times New Roman"/>
                <w:b/>
                <w:bCs/>
                <w:sz w:val="24"/>
                <w:szCs w:val="24"/>
              </w:rPr>
              <w:t xml:space="preserve"> a </w:t>
            </w:r>
            <w:proofErr w:type="spellStart"/>
            <w:r w:rsidRPr="00E12879">
              <w:rPr>
                <w:rFonts w:ascii="Times New Roman" w:hAnsi="Times New Roman" w:cs="Times New Roman"/>
                <w:b/>
                <w:bCs/>
                <w:sz w:val="24"/>
                <w:szCs w:val="24"/>
              </w:rPr>
              <w:t>grupului</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țintă</w:t>
            </w:r>
            <w:proofErr w:type="spellEnd"/>
            <w:r>
              <w:rPr>
                <w:rFonts w:ascii="Times New Roman" w:hAnsi="Times New Roman" w:cs="Times New Roman"/>
                <w:sz w:val="24"/>
                <w:szCs w:val="24"/>
              </w:rPr>
              <w:t xml:space="preserve">, </w:t>
            </w:r>
            <w:proofErr w:type="spellStart"/>
            <w:r w:rsidRPr="00E12879">
              <w:rPr>
                <w:rFonts w:ascii="Times New Roman" w:hAnsi="Times New Roman" w:cs="Times New Roman"/>
                <w:b/>
                <w:bCs/>
                <w:sz w:val="24"/>
                <w:szCs w:val="24"/>
              </w:rPr>
              <w:t>calculat</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astfel</w:t>
            </w:r>
            <w:proofErr w:type="spellEnd"/>
            <w:r w:rsidRPr="00E12879">
              <w:rPr>
                <w:rFonts w:ascii="Times New Roman" w:hAnsi="Times New Roman" w:cs="Times New Roman"/>
                <w:b/>
                <w:bCs/>
                <w:sz w:val="24"/>
                <w:szCs w:val="24"/>
              </w:rPr>
              <w:t>:</w:t>
            </w:r>
          </w:p>
        </w:tc>
        <w:tc>
          <w:tcPr>
            <w:tcW w:w="936" w:type="dxa"/>
            <w:shd w:val="clear" w:color="auto" w:fill="BFBFBF" w:themeFill="background1" w:themeFillShade="BF"/>
            <w:vAlign w:val="center"/>
          </w:tcPr>
          <w:p w14:paraId="562E81D2" w14:textId="77777777" w:rsidR="00E12879" w:rsidRPr="00E12879" w:rsidRDefault="00E12879"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32CB413D" w14:textId="77777777" w:rsidTr="00E12879">
        <w:trPr>
          <w:jc w:val="center"/>
        </w:trPr>
        <w:tc>
          <w:tcPr>
            <w:tcW w:w="617" w:type="dxa"/>
            <w:vMerge/>
            <w:vAlign w:val="center"/>
          </w:tcPr>
          <w:p w14:paraId="4F7C1B1D" w14:textId="724CD623"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6729057E"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SC1 – Definirea clară a participanților și explicitarea modalității de selecție</w:t>
            </w:r>
          </w:p>
        </w:tc>
        <w:tc>
          <w:tcPr>
            <w:tcW w:w="936" w:type="dxa"/>
            <w:vAlign w:val="center"/>
          </w:tcPr>
          <w:p w14:paraId="2BC4AA6F"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3847731E" w14:textId="77777777" w:rsidTr="00E12879">
        <w:trPr>
          <w:jc w:val="center"/>
        </w:trPr>
        <w:tc>
          <w:tcPr>
            <w:tcW w:w="617" w:type="dxa"/>
            <w:vMerge/>
            <w:vAlign w:val="center"/>
          </w:tcPr>
          <w:p w14:paraId="3A927DA1" w14:textId="43F539B2"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20EA535F"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SC2 – Definirea clară a beneficiarilor</w:t>
            </w:r>
          </w:p>
        </w:tc>
        <w:tc>
          <w:tcPr>
            <w:tcW w:w="936" w:type="dxa"/>
            <w:vAlign w:val="center"/>
          </w:tcPr>
          <w:p w14:paraId="588D1ABC"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71324B" w:rsidRPr="0071324B" w14:paraId="75CB1A8C" w14:textId="77777777" w:rsidTr="00E12879">
        <w:trPr>
          <w:jc w:val="center"/>
        </w:trPr>
        <w:tc>
          <w:tcPr>
            <w:tcW w:w="617" w:type="dxa"/>
            <w:vAlign w:val="center"/>
          </w:tcPr>
          <w:p w14:paraId="2818110E" w14:textId="77777777" w:rsidR="0082374E" w:rsidRPr="009B1100" w:rsidRDefault="00000000"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C6</w:t>
            </w:r>
          </w:p>
        </w:tc>
        <w:tc>
          <w:tcPr>
            <w:tcW w:w="8292" w:type="dxa"/>
            <w:vAlign w:val="center"/>
          </w:tcPr>
          <w:p w14:paraId="3E5300AE" w14:textId="77777777" w:rsidR="0082374E" w:rsidRPr="00E12879" w:rsidRDefault="00000000"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Impactul proiectului asupra grupului țintă</w:t>
            </w:r>
          </w:p>
        </w:tc>
        <w:tc>
          <w:tcPr>
            <w:tcW w:w="936" w:type="dxa"/>
            <w:vAlign w:val="center"/>
          </w:tcPr>
          <w:p w14:paraId="114DEEB4" w14:textId="77777777" w:rsidR="0082374E" w:rsidRPr="00E12879" w:rsidRDefault="00000000"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2F7C1FE0" w14:textId="77777777" w:rsidTr="00E12879">
        <w:trPr>
          <w:jc w:val="center"/>
        </w:trPr>
        <w:tc>
          <w:tcPr>
            <w:tcW w:w="617" w:type="dxa"/>
            <w:vMerge w:val="restart"/>
            <w:vAlign w:val="center"/>
          </w:tcPr>
          <w:p w14:paraId="33372AFB" w14:textId="77777777" w:rsidR="00E12879" w:rsidRPr="009B1100" w:rsidRDefault="00E12879"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C7</w:t>
            </w:r>
          </w:p>
          <w:p w14:paraId="0BC65EAE" w14:textId="28E178C8" w:rsidR="00E12879" w:rsidRPr="009B1100" w:rsidRDefault="00E12879" w:rsidP="0071324B">
            <w:pPr>
              <w:jc w:val="both"/>
              <w:rPr>
                <w:rFonts w:ascii="Times New Roman" w:hAnsi="Times New Roman" w:cs="Times New Roman"/>
                <w:b/>
                <w:bCs/>
                <w:sz w:val="24"/>
                <w:szCs w:val="24"/>
              </w:rPr>
            </w:pPr>
          </w:p>
        </w:tc>
        <w:tc>
          <w:tcPr>
            <w:tcW w:w="8292" w:type="dxa"/>
            <w:shd w:val="clear" w:color="auto" w:fill="BFBFBF" w:themeFill="background1" w:themeFillShade="BF"/>
            <w:vAlign w:val="center"/>
          </w:tcPr>
          <w:p w14:paraId="542AE964" w14:textId="74CCCF58" w:rsidR="00E12879" w:rsidRPr="00E12879" w:rsidRDefault="00E12879"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 xml:space="preserve">Bugetul este estimat realist </w:t>
            </w:r>
            <w:proofErr w:type="spellStart"/>
            <w:r w:rsidRPr="00E12879">
              <w:rPr>
                <w:rFonts w:ascii="Times New Roman" w:hAnsi="Times New Roman" w:cs="Times New Roman"/>
                <w:b/>
                <w:bCs/>
                <w:sz w:val="24"/>
                <w:szCs w:val="24"/>
              </w:rPr>
              <w:t>și</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este</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în</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concordanță</w:t>
            </w:r>
            <w:proofErr w:type="spellEnd"/>
            <w:r w:rsidRPr="00E12879">
              <w:rPr>
                <w:rFonts w:ascii="Times New Roman" w:hAnsi="Times New Roman" w:cs="Times New Roman"/>
                <w:b/>
                <w:bCs/>
                <w:sz w:val="24"/>
                <w:szCs w:val="24"/>
              </w:rPr>
              <w:t xml:space="preserve"> cu </w:t>
            </w:r>
            <w:proofErr w:type="spellStart"/>
            <w:r w:rsidRPr="00E12879">
              <w:rPr>
                <w:rFonts w:ascii="Times New Roman" w:hAnsi="Times New Roman" w:cs="Times New Roman"/>
                <w:b/>
                <w:bCs/>
                <w:sz w:val="24"/>
                <w:szCs w:val="24"/>
              </w:rPr>
              <w:t>activitățile</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planificate</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calculat</w:t>
            </w:r>
            <w:proofErr w:type="spellEnd"/>
            <w:r w:rsidRPr="00E12879">
              <w:rPr>
                <w:rFonts w:ascii="Times New Roman" w:hAnsi="Times New Roman" w:cs="Times New Roman"/>
                <w:b/>
                <w:bCs/>
                <w:sz w:val="24"/>
                <w:szCs w:val="24"/>
              </w:rPr>
              <w:t xml:space="preserve"> </w:t>
            </w:r>
            <w:proofErr w:type="spellStart"/>
            <w:r w:rsidRPr="00E12879">
              <w:rPr>
                <w:rFonts w:ascii="Times New Roman" w:hAnsi="Times New Roman" w:cs="Times New Roman"/>
                <w:b/>
                <w:bCs/>
                <w:sz w:val="24"/>
                <w:szCs w:val="24"/>
              </w:rPr>
              <w:t>astfel</w:t>
            </w:r>
            <w:proofErr w:type="spellEnd"/>
            <w:r w:rsidRPr="00E12879">
              <w:rPr>
                <w:rFonts w:ascii="Times New Roman" w:hAnsi="Times New Roman" w:cs="Times New Roman"/>
                <w:b/>
                <w:bCs/>
                <w:sz w:val="24"/>
                <w:szCs w:val="24"/>
              </w:rPr>
              <w:t>:</w:t>
            </w:r>
          </w:p>
        </w:tc>
        <w:tc>
          <w:tcPr>
            <w:tcW w:w="936" w:type="dxa"/>
            <w:shd w:val="clear" w:color="auto" w:fill="BFBFBF" w:themeFill="background1" w:themeFillShade="BF"/>
            <w:vAlign w:val="center"/>
          </w:tcPr>
          <w:p w14:paraId="0D48734E" w14:textId="77777777" w:rsidR="00E12879" w:rsidRPr="00E12879" w:rsidRDefault="00E12879"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E12879" w:rsidRPr="0071324B" w14:paraId="54321EA3" w14:textId="77777777" w:rsidTr="00E12879">
        <w:trPr>
          <w:jc w:val="center"/>
        </w:trPr>
        <w:tc>
          <w:tcPr>
            <w:tcW w:w="617" w:type="dxa"/>
            <w:vMerge/>
            <w:vAlign w:val="center"/>
          </w:tcPr>
          <w:p w14:paraId="47DF921E" w14:textId="08E4239E"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66F55626"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SC1 – Bugetul este estimat realist</w:t>
            </w:r>
          </w:p>
        </w:tc>
        <w:tc>
          <w:tcPr>
            <w:tcW w:w="936" w:type="dxa"/>
            <w:vAlign w:val="center"/>
          </w:tcPr>
          <w:p w14:paraId="6CF6D40E"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E12879" w:rsidRPr="0071324B" w14:paraId="3FE27308" w14:textId="77777777" w:rsidTr="00E12879">
        <w:trPr>
          <w:jc w:val="center"/>
        </w:trPr>
        <w:tc>
          <w:tcPr>
            <w:tcW w:w="617" w:type="dxa"/>
            <w:vMerge/>
            <w:vAlign w:val="center"/>
          </w:tcPr>
          <w:p w14:paraId="21CE2F4E" w14:textId="38E41ABD" w:rsidR="00E12879" w:rsidRPr="009B1100" w:rsidRDefault="00E12879" w:rsidP="0071324B">
            <w:pPr>
              <w:jc w:val="both"/>
              <w:rPr>
                <w:rFonts w:ascii="Times New Roman" w:hAnsi="Times New Roman" w:cs="Times New Roman"/>
                <w:b/>
                <w:bCs/>
                <w:sz w:val="24"/>
                <w:szCs w:val="24"/>
              </w:rPr>
            </w:pPr>
          </w:p>
        </w:tc>
        <w:tc>
          <w:tcPr>
            <w:tcW w:w="8292" w:type="dxa"/>
            <w:vAlign w:val="center"/>
          </w:tcPr>
          <w:p w14:paraId="7DF97FE0" w14:textId="77777777" w:rsidR="00E12879" w:rsidRPr="0071324B" w:rsidRDefault="00E12879" w:rsidP="0071324B">
            <w:pPr>
              <w:jc w:val="both"/>
              <w:rPr>
                <w:rFonts w:ascii="Times New Roman" w:hAnsi="Times New Roman" w:cs="Times New Roman"/>
                <w:sz w:val="24"/>
                <w:szCs w:val="24"/>
              </w:rPr>
            </w:pPr>
            <w:r w:rsidRPr="0071324B">
              <w:rPr>
                <w:rFonts w:ascii="Times New Roman" w:hAnsi="Times New Roman" w:cs="Times New Roman"/>
                <w:sz w:val="24"/>
                <w:szCs w:val="24"/>
              </w:rPr>
              <w:t>SC2 – Bugetul este în concordanță cu activitățile planificate</w:t>
            </w:r>
          </w:p>
        </w:tc>
        <w:tc>
          <w:tcPr>
            <w:tcW w:w="936" w:type="dxa"/>
            <w:vAlign w:val="center"/>
          </w:tcPr>
          <w:p w14:paraId="67ABAB95" w14:textId="77777777" w:rsidR="00E12879" w:rsidRPr="0071324B" w:rsidRDefault="00E12879" w:rsidP="001B50EC">
            <w:pPr>
              <w:jc w:val="center"/>
              <w:rPr>
                <w:rFonts w:ascii="Times New Roman" w:hAnsi="Times New Roman" w:cs="Times New Roman"/>
                <w:sz w:val="24"/>
                <w:szCs w:val="24"/>
              </w:rPr>
            </w:pPr>
            <w:r w:rsidRPr="0071324B">
              <w:rPr>
                <w:rFonts w:ascii="Times New Roman" w:hAnsi="Times New Roman" w:cs="Times New Roman"/>
                <w:sz w:val="24"/>
                <w:szCs w:val="24"/>
              </w:rPr>
              <w:t>5</w:t>
            </w:r>
          </w:p>
        </w:tc>
      </w:tr>
      <w:tr w:rsidR="0071324B" w:rsidRPr="0071324B" w14:paraId="573B2C7C" w14:textId="77777777" w:rsidTr="00E12879">
        <w:trPr>
          <w:jc w:val="center"/>
        </w:trPr>
        <w:tc>
          <w:tcPr>
            <w:tcW w:w="617" w:type="dxa"/>
            <w:vAlign w:val="center"/>
          </w:tcPr>
          <w:p w14:paraId="6D63D611" w14:textId="77777777" w:rsidR="0082374E" w:rsidRPr="009B1100" w:rsidRDefault="00000000"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C8</w:t>
            </w:r>
          </w:p>
        </w:tc>
        <w:tc>
          <w:tcPr>
            <w:tcW w:w="8292" w:type="dxa"/>
            <w:shd w:val="clear" w:color="auto" w:fill="BFBFBF" w:themeFill="background1" w:themeFillShade="BF"/>
            <w:vAlign w:val="center"/>
          </w:tcPr>
          <w:p w14:paraId="2A18340D" w14:textId="77777777" w:rsidR="0082374E" w:rsidRPr="00E12879" w:rsidRDefault="00000000"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Consistența acțiunilor de promovare cuprinse în proiect</w:t>
            </w:r>
          </w:p>
        </w:tc>
        <w:tc>
          <w:tcPr>
            <w:tcW w:w="936" w:type="dxa"/>
            <w:shd w:val="clear" w:color="auto" w:fill="BFBFBF" w:themeFill="background1" w:themeFillShade="BF"/>
            <w:vAlign w:val="center"/>
          </w:tcPr>
          <w:p w14:paraId="7D91A385" w14:textId="77777777" w:rsidR="0082374E" w:rsidRPr="00E12879" w:rsidRDefault="00000000"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71324B" w:rsidRPr="0071324B" w14:paraId="7744B098" w14:textId="77777777" w:rsidTr="00E12879">
        <w:trPr>
          <w:jc w:val="center"/>
        </w:trPr>
        <w:tc>
          <w:tcPr>
            <w:tcW w:w="617" w:type="dxa"/>
            <w:vAlign w:val="center"/>
          </w:tcPr>
          <w:p w14:paraId="142684F7" w14:textId="77777777" w:rsidR="0082374E" w:rsidRPr="009B1100" w:rsidRDefault="00000000"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C9</w:t>
            </w:r>
          </w:p>
        </w:tc>
        <w:tc>
          <w:tcPr>
            <w:tcW w:w="8292" w:type="dxa"/>
            <w:shd w:val="clear" w:color="auto" w:fill="BFBFBF" w:themeFill="background1" w:themeFillShade="BF"/>
            <w:vAlign w:val="center"/>
          </w:tcPr>
          <w:p w14:paraId="24C7AB22" w14:textId="77777777" w:rsidR="0082374E" w:rsidRPr="00E12879" w:rsidRDefault="00000000"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Parteneriate încheiate cu organizații și/sau instituții pentru proiect</w:t>
            </w:r>
          </w:p>
        </w:tc>
        <w:tc>
          <w:tcPr>
            <w:tcW w:w="936" w:type="dxa"/>
            <w:shd w:val="clear" w:color="auto" w:fill="BFBFBF" w:themeFill="background1" w:themeFillShade="BF"/>
            <w:vAlign w:val="center"/>
          </w:tcPr>
          <w:p w14:paraId="1AFD020F" w14:textId="77777777" w:rsidR="0082374E" w:rsidRPr="00E12879" w:rsidRDefault="00000000"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r w:rsidR="0071324B" w:rsidRPr="0071324B" w14:paraId="20287A4F" w14:textId="77777777" w:rsidTr="00E12879">
        <w:trPr>
          <w:jc w:val="center"/>
        </w:trPr>
        <w:tc>
          <w:tcPr>
            <w:tcW w:w="617" w:type="dxa"/>
            <w:vAlign w:val="center"/>
          </w:tcPr>
          <w:p w14:paraId="2137AB6F" w14:textId="77777777" w:rsidR="0082374E" w:rsidRPr="009B1100" w:rsidRDefault="00000000" w:rsidP="0071324B">
            <w:pPr>
              <w:jc w:val="both"/>
              <w:rPr>
                <w:rFonts w:ascii="Times New Roman" w:hAnsi="Times New Roman" w:cs="Times New Roman"/>
                <w:b/>
                <w:bCs/>
                <w:sz w:val="24"/>
                <w:szCs w:val="24"/>
              </w:rPr>
            </w:pPr>
            <w:r w:rsidRPr="009B1100">
              <w:rPr>
                <w:rFonts w:ascii="Times New Roman" w:hAnsi="Times New Roman" w:cs="Times New Roman"/>
                <w:b/>
                <w:bCs/>
                <w:sz w:val="24"/>
                <w:szCs w:val="24"/>
              </w:rPr>
              <w:t>C10</w:t>
            </w:r>
          </w:p>
        </w:tc>
        <w:tc>
          <w:tcPr>
            <w:tcW w:w="8292" w:type="dxa"/>
            <w:shd w:val="clear" w:color="auto" w:fill="BFBFBF" w:themeFill="background1" w:themeFillShade="BF"/>
            <w:vAlign w:val="center"/>
          </w:tcPr>
          <w:p w14:paraId="6FB890AC" w14:textId="77777777" w:rsidR="0082374E" w:rsidRPr="00E12879" w:rsidRDefault="00000000" w:rsidP="0071324B">
            <w:pPr>
              <w:jc w:val="both"/>
              <w:rPr>
                <w:rFonts w:ascii="Times New Roman" w:hAnsi="Times New Roman" w:cs="Times New Roman"/>
                <w:b/>
                <w:bCs/>
                <w:sz w:val="24"/>
                <w:szCs w:val="24"/>
              </w:rPr>
            </w:pPr>
            <w:r w:rsidRPr="00E12879">
              <w:rPr>
                <w:rFonts w:ascii="Times New Roman" w:hAnsi="Times New Roman" w:cs="Times New Roman"/>
                <w:b/>
                <w:bCs/>
                <w:sz w:val="24"/>
                <w:szCs w:val="24"/>
              </w:rPr>
              <w:t>Experiența similară – desfășurarea altor proiecte similare și obținerea finanțărilor din alte surse decât cele proprii</w:t>
            </w:r>
          </w:p>
        </w:tc>
        <w:tc>
          <w:tcPr>
            <w:tcW w:w="936" w:type="dxa"/>
            <w:shd w:val="clear" w:color="auto" w:fill="BFBFBF" w:themeFill="background1" w:themeFillShade="BF"/>
            <w:vAlign w:val="center"/>
          </w:tcPr>
          <w:p w14:paraId="1692FE0A" w14:textId="77777777" w:rsidR="0082374E" w:rsidRPr="00E12879" w:rsidRDefault="00000000" w:rsidP="001B50EC">
            <w:pPr>
              <w:jc w:val="center"/>
              <w:rPr>
                <w:rFonts w:ascii="Times New Roman" w:hAnsi="Times New Roman" w:cs="Times New Roman"/>
                <w:b/>
                <w:bCs/>
                <w:sz w:val="24"/>
                <w:szCs w:val="24"/>
              </w:rPr>
            </w:pPr>
            <w:r w:rsidRPr="00E12879">
              <w:rPr>
                <w:rFonts w:ascii="Times New Roman" w:hAnsi="Times New Roman" w:cs="Times New Roman"/>
                <w:b/>
                <w:bCs/>
                <w:sz w:val="24"/>
                <w:szCs w:val="24"/>
              </w:rPr>
              <w:t>10</w:t>
            </w:r>
          </w:p>
        </w:tc>
      </w:tr>
    </w:tbl>
    <w:p w14:paraId="4BE8F6C6" w14:textId="77777777" w:rsidR="0082374E" w:rsidRPr="0071324B" w:rsidRDefault="00000000" w:rsidP="0071324B">
      <w:pPr>
        <w:spacing w:after="100"/>
        <w:jc w:val="both"/>
        <w:rPr>
          <w:rFonts w:ascii="Times New Roman" w:hAnsi="Times New Roman" w:cs="Times New Roman"/>
          <w:sz w:val="24"/>
          <w:szCs w:val="24"/>
        </w:rPr>
      </w:pPr>
      <w:proofErr w:type="spellStart"/>
      <w:r w:rsidRPr="0071324B">
        <w:rPr>
          <w:rFonts w:ascii="Times New Roman" w:hAnsi="Times New Roman" w:cs="Times New Roman"/>
          <w:sz w:val="24"/>
          <w:szCs w:val="24"/>
        </w:rPr>
        <w:t>Punctajul</w:t>
      </w:r>
      <w:proofErr w:type="spellEnd"/>
      <w:r w:rsidRPr="0071324B">
        <w:rPr>
          <w:rFonts w:ascii="Times New Roman" w:hAnsi="Times New Roman" w:cs="Times New Roman"/>
          <w:sz w:val="24"/>
          <w:szCs w:val="24"/>
        </w:rPr>
        <w:t xml:space="preserve"> maxim al </w:t>
      </w:r>
      <w:proofErr w:type="spellStart"/>
      <w:r w:rsidRPr="0071324B">
        <w:rPr>
          <w:rFonts w:ascii="Times New Roman" w:hAnsi="Times New Roman" w:cs="Times New Roman"/>
          <w:sz w:val="24"/>
          <w:szCs w:val="24"/>
        </w:rPr>
        <w:t>criteriilor</w:t>
      </w:r>
      <w:proofErr w:type="spellEnd"/>
      <w:r w:rsidRPr="0071324B">
        <w:rPr>
          <w:rFonts w:ascii="Times New Roman" w:hAnsi="Times New Roman" w:cs="Times New Roman"/>
          <w:sz w:val="24"/>
          <w:szCs w:val="24"/>
        </w:rPr>
        <w:t xml:space="preserve"> </w:t>
      </w:r>
      <w:proofErr w:type="spellStart"/>
      <w:r w:rsidRPr="0071324B">
        <w:rPr>
          <w:rFonts w:ascii="Times New Roman" w:hAnsi="Times New Roman" w:cs="Times New Roman"/>
          <w:sz w:val="24"/>
          <w:szCs w:val="24"/>
        </w:rPr>
        <w:t>principale</w:t>
      </w:r>
      <w:proofErr w:type="spellEnd"/>
      <w:r w:rsidRPr="0071324B">
        <w:rPr>
          <w:rFonts w:ascii="Times New Roman" w:hAnsi="Times New Roman" w:cs="Times New Roman"/>
          <w:sz w:val="24"/>
          <w:szCs w:val="24"/>
        </w:rPr>
        <w:t xml:space="preserve"> </w:t>
      </w:r>
      <w:proofErr w:type="spellStart"/>
      <w:r w:rsidRPr="0071324B">
        <w:rPr>
          <w:rFonts w:ascii="Times New Roman" w:hAnsi="Times New Roman" w:cs="Times New Roman"/>
          <w:sz w:val="24"/>
          <w:szCs w:val="24"/>
        </w:rPr>
        <w:t>este</w:t>
      </w:r>
      <w:proofErr w:type="spellEnd"/>
      <w:r w:rsidRPr="0071324B">
        <w:rPr>
          <w:rFonts w:ascii="Times New Roman" w:hAnsi="Times New Roman" w:cs="Times New Roman"/>
          <w:sz w:val="24"/>
          <w:szCs w:val="24"/>
        </w:rPr>
        <w:t xml:space="preserve"> de 100 de puncte. Subcriteriile fac parte din punctajul criteriului principal și nu se adaugă suplimentar peste acesta.</w:t>
      </w:r>
    </w:p>
    <w:p w14:paraId="434FEE1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Solicitanții vor fi informați în scris de către autoritatea finanțatoare asupra deciziei comisiei de evaluare în legătură cu cererea lor de finanțare.</w:t>
      </w:r>
    </w:p>
    <w:p w14:paraId="6C6E7C6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În termen de 3 zile de la data primirii notificării din partea autorității finanțatoare, solicitanții pot depune contestații la Registratura Consiliului Județean Dolj, str. Olteț nr. 4, Craiova. Autoritatea finanțatoare va soluționa contestațiile în termen de 5 zile de la înregistrarea acestora.</w:t>
      </w:r>
    </w:p>
    <w:p w14:paraId="65A6E87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Proiectele propuse spre finanțare se stabilesc în limita sumei alocate programului și în ordinea descrescătoare a punctajelor obținute. Acestea constituie lista prioritară. Proiectele care îndeplinesc </w:t>
      </w:r>
      <w:r w:rsidRPr="0071324B">
        <w:rPr>
          <w:rFonts w:ascii="Times New Roman" w:hAnsi="Times New Roman" w:cs="Times New Roman"/>
          <w:sz w:val="24"/>
          <w:szCs w:val="24"/>
        </w:rPr>
        <w:lastRenderedPageBreak/>
        <w:t>condițiile de eligibilitate și nu pot fi finanțate din limita fondului disponibil constituie lista de rezervă și pot primi finanțare, în ordinea descrescătoare a punctajelor, în situația disponibilizării fondurilor.</w:t>
      </w:r>
    </w:p>
    <w:p w14:paraId="4F30D281"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CAPITOLUL V – ÎNCHEIEREA CONTRACTULUI, PROCEDURA DE FINANȚARE, RAPORTAREA ȘI PUBLICITATEA</w:t>
      </w:r>
    </w:p>
    <w:p w14:paraId="1F087E53"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1. Încheierea contractului</w:t>
      </w:r>
    </w:p>
    <w:p w14:paraId="23E2F95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Pentru primirea finanțării nerambursabile se încheie un contract de finanțare nerambursabilă.</w:t>
      </w:r>
    </w:p>
    <w:p w14:paraId="55853C0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Părțile semnatare ale contractului sunt reprezentantul legal al Consiliului Județean Dolj și reprezentantul legal al beneficiarului.</w:t>
      </w:r>
    </w:p>
    <w:p w14:paraId="735BB652"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Solicitanții ale căror proiecte au fost propuse spre finanțare vor fi notificați pentru a se prezenta la sediul Consiliului Județean Dolj în maximum 15 zile de la primirea deciziei, în vederea semnării contractelor.</w:t>
      </w:r>
    </w:p>
    <w:p w14:paraId="206E5E54"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Dacă beneficiarul nu reușește să implementeze proiectul în condițiile asumate și stipulate în contract, autoritatea finanțatoare își rezervă dreptul de a desființa/rezilia contractul și poate solicita restituirea sumelor acordate, în condițiile contractului și ale legii. Orice modificare a contractului se face în scris, prin act adițional, cu excepția situațiilor în care contractul prevede altfel.</w:t>
      </w:r>
    </w:p>
    <w:p w14:paraId="45257DC7"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2. Procedura de finanțare</w:t>
      </w:r>
    </w:p>
    <w:p w14:paraId="4A571D2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Finanțarea se acordă conform prevederilor privind tranșele și justificarea acestora, prevăzute în prezentul Ghid și în contractul de finanțare.</w:t>
      </w:r>
    </w:p>
    <w:p w14:paraId="0B061D30"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3. Raportarea</w:t>
      </w:r>
    </w:p>
    <w:p w14:paraId="049A80E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Rapoartele trebuie întocmite în limba română. Raportul tehnic/narativ și raportul financiar se vor completa în conformitate cu modelele anexate contractului.</w:t>
      </w:r>
    </w:p>
    <w:p w14:paraId="364EBAF6"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Beneficiarul finanțării nerambursabile este obligat să depună, în maximum 14 zile calendaristice de la finalizarea proiectului, raportul final și documentele justificative.</w:t>
      </w:r>
    </w:p>
    <w:p w14:paraId="056741F1"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Raportul financiar va fi însoțit de copii ale documentelor justificative, documente numerotate și certificate conform cu originalul, semnate de reprezentantul legal, potrivit cerințelor contractuale.</w:t>
      </w:r>
    </w:p>
    <w:p w14:paraId="6559747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Raportul de imagine va fi depus împreună cu rapoartele menționate și va conține fotografii de la activitățile derulate în cadrul proiectului, precum și exemple din materialele publicitare utilizate.</w:t>
      </w:r>
    </w:p>
    <w:p w14:paraId="33D60918" w14:textId="77777777" w:rsidR="0082374E" w:rsidRPr="0071324B" w:rsidRDefault="00000000" w:rsidP="0071324B">
      <w:pPr>
        <w:pStyle w:val="Heading2"/>
        <w:jc w:val="both"/>
        <w:rPr>
          <w:rFonts w:ascii="Times New Roman" w:hAnsi="Times New Roman" w:cs="Times New Roman"/>
          <w:color w:val="auto"/>
          <w:szCs w:val="24"/>
        </w:rPr>
      </w:pPr>
      <w:r w:rsidRPr="0071324B">
        <w:rPr>
          <w:rFonts w:ascii="Times New Roman" w:hAnsi="Times New Roman" w:cs="Times New Roman"/>
          <w:color w:val="auto"/>
          <w:szCs w:val="24"/>
        </w:rPr>
        <w:t>4. Publicitatea</w:t>
      </w:r>
    </w:p>
    <w:p w14:paraId="3527ADF8"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Finanțării din partea Consiliului Județean Dolj i se va acorda vizibilitate și recunoaștere prin intermediul rapoartelor și publicațiilor realizate ca rezultat al proiectului sau în cadrul evenimentelor asociate proiectului.</w:t>
      </w:r>
    </w:p>
    <w:p w14:paraId="4E49CB2D"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Sigla Consiliului Județean Dolj va fi utilizată pe materialele promoționale ale proiectului, în condițiile identității vizuale comunicate de autoritatea finanțatoare. Sprijinul Consiliului Județean Dolj va fi menționat în materialele de comunicare, inclusiv comunicate de presă, precum și în cadrul evenimentelor publice asociate proiectului.</w:t>
      </w:r>
    </w:p>
    <w:p w14:paraId="00044D27"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lastRenderedPageBreak/>
        <w:t>CAPITOLUL VI – DOCUMENTELE CE VOR ÎNSOȚI DOSARUL SOLICITANTULUI</w:t>
      </w:r>
    </w:p>
    <w:p w14:paraId="40106F7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Cererea de finanțare – Anexa 1.</w:t>
      </w:r>
    </w:p>
    <w:p w14:paraId="5190043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Bugetul proiectului – Anexa 2.</w:t>
      </w:r>
    </w:p>
    <w:p w14:paraId="1CFE823B"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Modelul de raport tehnic – Anexa 3.1.</w:t>
      </w:r>
    </w:p>
    <w:p w14:paraId="6AD6D98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Modelul de raport financiar – Anexa 3.2.</w:t>
      </w:r>
    </w:p>
    <w:p w14:paraId="4F636CC0"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Cererea de plată – Anexa 4.</w:t>
      </w:r>
    </w:p>
    <w:p w14:paraId="344FECD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Declarația solicitantului – Anexa 5.</w:t>
      </w:r>
    </w:p>
    <w:p w14:paraId="793D23C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 Copie după hotărârea judecătorească definitivă de înființare </w:t>
      </w:r>
      <w:proofErr w:type="gramStart"/>
      <w:r w:rsidRPr="0071324B">
        <w:rPr>
          <w:rFonts w:ascii="Times New Roman" w:hAnsi="Times New Roman" w:cs="Times New Roman"/>
          <w:sz w:val="24"/>
          <w:szCs w:val="24"/>
        </w:rPr>
        <w:t>a</w:t>
      </w:r>
      <w:proofErr w:type="gramEnd"/>
      <w:r w:rsidRPr="0071324B">
        <w:rPr>
          <w:rFonts w:ascii="Times New Roman" w:hAnsi="Times New Roman" w:cs="Times New Roman"/>
          <w:sz w:val="24"/>
          <w:szCs w:val="24"/>
        </w:rPr>
        <w:t xml:space="preserve"> asociației/fundației, după caz.</w:t>
      </w:r>
    </w:p>
    <w:p w14:paraId="3992944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Copii după statut și actul constitutiv al asociației/fundației.</w:t>
      </w:r>
    </w:p>
    <w:p w14:paraId="474F8C4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Copie după certificatul de înscriere în Registrul asociațiilor și fundațiilor.</w:t>
      </w:r>
    </w:p>
    <w:p w14:paraId="51C4B4B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Copie după situația financiară/bilanțul contabil pentru anul anterior, înregistrată la organul fiscal competent, cu excepția organizațiilor înființate în anul în curs.</w:t>
      </w:r>
    </w:p>
    <w:p w14:paraId="0255AA2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CV-urile echipei de proiect.</w:t>
      </w:r>
    </w:p>
    <w:p w14:paraId="2B6E1DB9"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Certificate fiscale din care să rezulte că solicitantul nu are datorii către bugetul de stat și bugetul local, în condițiile anunțului de participare.</w:t>
      </w:r>
    </w:p>
    <w:p w14:paraId="3A76FD7A"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DISPOZIȚII FINALE</w:t>
      </w:r>
    </w:p>
    <w:p w14:paraId="01E715C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 xml:space="preserve">Prezenta metodologie se aplică exclusiv procedurii de finanțare </w:t>
      </w:r>
      <w:proofErr w:type="gramStart"/>
      <w:r w:rsidRPr="0071324B">
        <w:rPr>
          <w:rFonts w:ascii="Times New Roman" w:hAnsi="Times New Roman" w:cs="Times New Roman"/>
          <w:sz w:val="24"/>
          <w:szCs w:val="24"/>
        </w:rPr>
        <w:t>a</w:t>
      </w:r>
      <w:proofErr w:type="gramEnd"/>
      <w:r w:rsidRPr="0071324B">
        <w:rPr>
          <w:rFonts w:ascii="Times New Roman" w:hAnsi="Times New Roman" w:cs="Times New Roman"/>
          <w:sz w:val="24"/>
          <w:szCs w:val="24"/>
        </w:rPr>
        <w:t xml:space="preserve"> activităților de tineret din Fondul destinat activităților de tineret prevăzut de Legea nr. 350/2006, pentru anul 2026.</w:t>
      </w:r>
    </w:p>
    <w:p w14:paraId="331F518B" w14:textId="77777777" w:rsidR="0082374E" w:rsidRPr="0071324B" w:rsidRDefault="00000000" w:rsidP="0071324B">
      <w:pPr>
        <w:spacing w:after="100"/>
        <w:jc w:val="both"/>
        <w:rPr>
          <w:rFonts w:ascii="Times New Roman" w:hAnsi="Times New Roman" w:cs="Times New Roman"/>
          <w:sz w:val="24"/>
          <w:szCs w:val="24"/>
        </w:rPr>
      </w:pPr>
      <w:proofErr w:type="spellStart"/>
      <w:r w:rsidRPr="0071324B">
        <w:rPr>
          <w:rFonts w:ascii="Times New Roman" w:hAnsi="Times New Roman" w:cs="Times New Roman"/>
          <w:sz w:val="24"/>
          <w:szCs w:val="24"/>
        </w:rPr>
        <w:t>Anexele</w:t>
      </w:r>
      <w:proofErr w:type="spellEnd"/>
      <w:r w:rsidRPr="0071324B">
        <w:rPr>
          <w:rFonts w:ascii="Times New Roman" w:hAnsi="Times New Roman" w:cs="Times New Roman"/>
          <w:sz w:val="24"/>
          <w:szCs w:val="24"/>
        </w:rPr>
        <w:t xml:space="preserve"> fac </w:t>
      </w:r>
      <w:proofErr w:type="spellStart"/>
      <w:r w:rsidRPr="0071324B">
        <w:rPr>
          <w:rFonts w:ascii="Times New Roman" w:hAnsi="Times New Roman" w:cs="Times New Roman"/>
          <w:sz w:val="24"/>
          <w:szCs w:val="24"/>
        </w:rPr>
        <w:t>parte</w:t>
      </w:r>
      <w:proofErr w:type="spellEnd"/>
      <w:r w:rsidRPr="0071324B">
        <w:rPr>
          <w:rFonts w:ascii="Times New Roman" w:hAnsi="Times New Roman" w:cs="Times New Roman"/>
          <w:sz w:val="24"/>
          <w:szCs w:val="24"/>
        </w:rPr>
        <w:t xml:space="preserve"> </w:t>
      </w:r>
      <w:proofErr w:type="spellStart"/>
      <w:r w:rsidRPr="0071324B">
        <w:rPr>
          <w:rFonts w:ascii="Times New Roman" w:hAnsi="Times New Roman" w:cs="Times New Roman"/>
          <w:sz w:val="24"/>
          <w:szCs w:val="24"/>
        </w:rPr>
        <w:t>integrantă</w:t>
      </w:r>
      <w:proofErr w:type="spellEnd"/>
      <w:r w:rsidRPr="0071324B">
        <w:rPr>
          <w:rFonts w:ascii="Times New Roman" w:hAnsi="Times New Roman" w:cs="Times New Roman"/>
          <w:sz w:val="24"/>
          <w:szCs w:val="24"/>
        </w:rPr>
        <w:t xml:space="preserve"> din prezenta metodologie.</w:t>
      </w:r>
    </w:p>
    <w:p w14:paraId="53880F32" w14:textId="77777777" w:rsidR="0082374E" w:rsidRPr="0071324B" w:rsidRDefault="00000000" w:rsidP="0071324B">
      <w:pPr>
        <w:pStyle w:val="Heading1"/>
        <w:jc w:val="both"/>
        <w:rPr>
          <w:rFonts w:ascii="Times New Roman" w:hAnsi="Times New Roman" w:cs="Times New Roman"/>
          <w:color w:val="auto"/>
          <w:sz w:val="24"/>
          <w:szCs w:val="24"/>
        </w:rPr>
      </w:pPr>
      <w:r w:rsidRPr="0071324B">
        <w:rPr>
          <w:rFonts w:ascii="Times New Roman" w:hAnsi="Times New Roman" w:cs="Times New Roman"/>
          <w:color w:val="auto"/>
          <w:sz w:val="24"/>
          <w:szCs w:val="24"/>
        </w:rPr>
        <w:t>ANEXE</w:t>
      </w:r>
    </w:p>
    <w:p w14:paraId="25BBD8D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1 – Cerere de finanțare</w:t>
      </w:r>
    </w:p>
    <w:p w14:paraId="327B7F1C"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2 – Bugetul proiectului</w:t>
      </w:r>
    </w:p>
    <w:p w14:paraId="46C8336E"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3.1 – Raport tehnic</w:t>
      </w:r>
    </w:p>
    <w:p w14:paraId="0969F023"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3.2 – Raport financiar</w:t>
      </w:r>
    </w:p>
    <w:p w14:paraId="402E14C7"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4 – Cerere de plată</w:t>
      </w:r>
    </w:p>
    <w:p w14:paraId="42DFFA9F" w14:textId="77777777" w:rsidR="0082374E" w:rsidRPr="0071324B" w:rsidRDefault="00000000" w:rsidP="0071324B">
      <w:pPr>
        <w:spacing w:after="100"/>
        <w:jc w:val="both"/>
        <w:rPr>
          <w:rFonts w:ascii="Times New Roman" w:hAnsi="Times New Roman" w:cs="Times New Roman"/>
          <w:sz w:val="24"/>
          <w:szCs w:val="24"/>
        </w:rPr>
      </w:pPr>
      <w:r w:rsidRPr="0071324B">
        <w:rPr>
          <w:rFonts w:ascii="Times New Roman" w:hAnsi="Times New Roman" w:cs="Times New Roman"/>
          <w:sz w:val="24"/>
          <w:szCs w:val="24"/>
        </w:rPr>
        <w:t>Anexa 5 – Declarația solicitantului</w:t>
      </w:r>
    </w:p>
    <w:sectPr w:rsidR="0082374E" w:rsidRPr="0071324B"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47CB9" w14:textId="77777777" w:rsidR="0035734E" w:rsidRDefault="0035734E">
      <w:pPr>
        <w:spacing w:after="0" w:line="240" w:lineRule="auto"/>
      </w:pPr>
      <w:r>
        <w:separator/>
      </w:r>
    </w:p>
  </w:endnote>
  <w:endnote w:type="continuationSeparator" w:id="0">
    <w:p w14:paraId="08CDC68A" w14:textId="77777777" w:rsidR="0035734E" w:rsidRDefault="00357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C71B" w14:textId="15EE2080" w:rsidR="0082374E" w:rsidRDefault="008237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86FF" w14:textId="77777777" w:rsidR="0035734E" w:rsidRDefault="0035734E">
      <w:pPr>
        <w:spacing w:after="0" w:line="240" w:lineRule="auto"/>
      </w:pPr>
      <w:r>
        <w:separator/>
      </w:r>
    </w:p>
  </w:footnote>
  <w:footnote w:type="continuationSeparator" w:id="0">
    <w:p w14:paraId="18AED038" w14:textId="77777777" w:rsidR="0035734E" w:rsidRDefault="00357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0890171">
    <w:abstractNumId w:val="8"/>
  </w:num>
  <w:num w:numId="2" w16cid:durableId="511335928">
    <w:abstractNumId w:val="6"/>
  </w:num>
  <w:num w:numId="3" w16cid:durableId="856506508">
    <w:abstractNumId w:val="5"/>
  </w:num>
  <w:num w:numId="4" w16cid:durableId="141431542">
    <w:abstractNumId w:val="4"/>
  </w:num>
  <w:num w:numId="5" w16cid:durableId="1280533363">
    <w:abstractNumId w:val="7"/>
  </w:num>
  <w:num w:numId="6" w16cid:durableId="616451178">
    <w:abstractNumId w:val="3"/>
  </w:num>
  <w:num w:numId="7" w16cid:durableId="103040868">
    <w:abstractNumId w:val="2"/>
  </w:num>
  <w:num w:numId="8" w16cid:durableId="394351283">
    <w:abstractNumId w:val="1"/>
  </w:num>
  <w:num w:numId="9" w16cid:durableId="198928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265E"/>
    <w:rsid w:val="001B50EC"/>
    <w:rsid w:val="0029639D"/>
    <w:rsid w:val="002F6E2C"/>
    <w:rsid w:val="00326F90"/>
    <w:rsid w:val="0035734E"/>
    <w:rsid w:val="003D4ADC"/>
    <w:rsid w:val="006168E9"/>
    <w:rsid w:val="006E426B"/>
    <w:rsid w:val="0071324B"/>
    <w:rsid w:val="00753295"/>
    <w:rsid w:val="0082374E"/>
    <w:rsid w:val="009B1100"/>
    <w:rsid w:val="00AA1D8D"/>
    <w:rsid w:val="00AA76D2"/>
    <w:rsid w:val="00AB6D72"/>
    <w:rsid w:val="00B47730"/>
    <w:rsid w:val="00BF7BE2"/>
    <w:rsid w:val="00C42F95"/>
    <w:rsid w:val="00CB0664"/>
    <w:rsid w:val="00E128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344ED"/>
  <w14:defaultImageDpi w14:val="300"/>
  <w15:docId w15:val="{076C0923-A4DF-49C8-BDBE-C918F6AE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3681</Words>
  <Characters>20986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Loredana Neagoe</cp:lastModifiedBy>
  <cp:revision>8</cp:revision>
  <cp:lastPrinted>2026-09-25T06:01:00Z</cp:lastPrinted>
  <dcterms:created xsi:type="dcterms:W3CDTF">2013-12-23T23:15:00Z</dcterms:created>
  <dcterms:modified xsi:type="dcterms:W3CDTF">2026-09-28T10:22:00Z</dcterms:modified>
  <cp:category/>
</cp:coreProperties>
</file>